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0494D" w14:textId="77777777" w:rsidR="004604C0" w:rsidRDefault="004604C0">
      <w:pPr>
        <w:spacing w:after="0" w:line="240" w:lineRule="auto"/>
        <w:ind w:left="720"/>
        <w:rPr>
          <w:rFonts w:ascii="Arial" w:eastAsia="Arial" w:hAnsi="Arial" w:cs="Arial"/>
          <w:b/>
          <w:bCs/>
          <w:sz w:val="24"/>
          <w:szCs w:val="24"/>
        </w:rPr>
      </w:pPr>
    </w:p>
    <w:tbl>
      <w:tblPr>
        <w:tblStyle w:val="a"/>
        <w:tblW w:w="10485"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4251"/>
        <w:gridCol w:w="1220"/>
        <w:gridCol w:w="5014"/>
      </w:tblGrid>
      <w:tr w:rsidR="004604C0" w14:paraId="664BF885" w14:textId="77777777" w:rsidTr="00B25A0D">
        <w:trPr>
          <w:trHeight w:val="686"/>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4D18DAE0" w14:textId="77777777" w:rsidR="004604C0" w:rsidRDefault="00CE3F76">
            <w:pPr>
              <w:spacing w:before="120" w:after="120" w:line="276" w:lineRule="auto"/>
              <w:rPr>
                <w:rFonts w:ascii="Arial" w:eastAsia="Arial" w:hAnsi="Arial" w:cs="Arial"/>
                <w:b/>
                <w:bCs/>
                <w:sz w:val="24"/>
                <w:szCs w:val="24"/>
              </w:rPr>
            </w:pPr>
            <w:r>
              <w:rPr>
                <w:rFonts w:ascii="Arial" w:eastAsia="Arial" w:hAnsi="Arial" w:cs="Arial"/>
                <w:b/>
                <w:bCs/>
                <w:sz w:val="24"/>
                <w:szCs w:val="24"/>
              </w:rPr>
              <w:t xml:space="preserve">WNIOSEK O PRZYZNANIE DOTACJI </w:t>
            </w:r>
          </w:p>
          <w:p w14:paraId="4D919D4A" w14:textId="77777777" w:rsidR="004604C0" w:rsidRDefault="004604C0">
            <w:pPr>
              <w:spacing w:before="120" w:after="120" w:line="240" w:lineRule="auto"/>
              <w:rPr>
                <w:rFonts w:ascii="Arial" w:eastAsia="Arial" w:hAnsi="Arial" w:cs="Arial"/>
                <w:b/>
                <w:bCs/>
                <w:sz w:val="24"/>
                <w:szCs w:val="24"/>
              </w:rPr>
            </w:pPr>
          </w:p>
        </w:tc>
      </w:tr>
      <w:tr w:rsidR="004604C0" w14:paraId="487995E0" w14:textId="77777777">
        <w:trPr>
          <w:trHeight w:val="351"/>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0B8A01F4" w14:textId="77777777" w:rsidR="004604C0" w:rsidRDefault="00CE3F76">
            <w:pPr>
              <w:spacing w:before="120" w:after="120" w:line="240" w:lineRule="auto"/>
              <w:rPr>
                <w:rFonts w:ascii="Arial" w:eastAsia="Arial" w:hAnsi="Arial" w:cs="Arial"/>
                <w:b/>
                <w:bCs/>
                <w:sz w:val="24"/>
                <w:szCs w:val="24"/>
              </w:rPr>
            </w:pPr>
            <w:r>
              <w:rPr>
                <w:rFonts w:ascii="Arial" w:eastAsia="Arial" w:hAnsi="Arial" w:cs="Arial"/>
                <w:b/>
                <w:bCs/>
                <w:sz w:val="24"/>
                <w:szCs w:val="24"/>
              </w:rPr>
              <w:t>PODSTAWOWE INFORMACJE O PROJEKCIE</w:t>
            </w:r>
          </w:p>
        </w:tc>
      </w:tr>
      <w:tr w:rsidR="004604C0" w14:paraId="0B6FD2D9" w14:textId="77777777">
        <w:trPr>
          <w:trHeight w:val="65"/>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B77A0F7" w14:textId="77777777" w:rsidR="004604C0" w:rsidRDefault="00CE3F76">
            <w:pPr>
              <w:spacing w:before="60" w:after="60" w:line="240" w:lineRule="auto"/>
              <w:rPr>
                <w:rFonts w:ascii="Arial" w:eastAsia="Arial" w:hAnsi="Arial" w:cs="Arial"/>
                <w:sz w:val="24"/>
                <w:szCs w:val="24"/>
              </w:rPr>
            </w:pPr>
            <w:bookmarkStart w:id="0" w:name="_heading=h.rewf357pk4he" w:colFirst="0" w:colLast="0"/>
            <w:bookmarkEnd w:id="0"/>
            <w:r>
              <w:rPr>
                <w:rFonts w:ascii="Arial" w:eastAsia="Arial" w:hAnsi="Arial" w:cs="Arial"/>
                <w:sz w:val="24"/>
                <w:szCs w:val="24"/>
              </w:rPr>
              <w:t>Tytuł lub zakres projektu</w:t>
            </w:r>
          </w:p>
        </w:tc>
        <w:tc>
          <w:tcPr>
            <w:tcW w:w="6234" w:type="dxa"/>
            <w:gridSpan w:val="2"/>
            <w:tcBorders>
              <w:top w:val="single" w:sz="4" w:space="0" w:color="000000"/>
              <w:left w:val="single" w:sz="4" w:space="0" w:color="000000"/>
              <w:bottom w:val="single" w:sz="4" w:space="0" w:color="000000"/>
              <w:right w:val="single" w:sz="4" w:space="0" w:color="000000"/>
            </w:tcBorders>
            <w:vAlign w:val="center"/>
          </w:tcPr>
          <w:p w14:paraId="376727D4" w14:textId="77777777" w:rsidR="004604C0" w:rsidRDefault="00CE3F76">
            <w:pPr>
              <w:spacing w:before="60" w:after="60" w:line="240" w:lineRule="auto"/>
              <w:rPr>
                <w:rFonts w:ascii="Arial" w:eastAsia="Arial" w:hAnsi="Arial" w:cs="Arial"/>
                <w:b/>
                <w:bCs/>
                <w:sz w:val="24"/>
                <w:szCs w:val="24"/>
              </w:rPr>
            </w:pPr>
            <w:r>
              <w:rPr>
                <w:rFonts w:ascii="Arial" w:eastAsia="Arial" w:hAnsi="Arial" w:cs="Arial"/>
                <w:b/>
                <w:bCs/>
                <w:sz w:val="24"/>
                <w:szCs w:val="24"/>
              </w:rPr>
              <w:t>Organizacje pozarządowe w Funduszach Europejskich: większy wpływ, lepsze wdrażanie.</w:t>
            </w:r>
          </w:p>
        </w:tc>
      </w:tr>
      <w:tr w:rsidR="004604C0" w14:paraId="3D142BC5" w14:textId="77777777">
        <w:trPr>
          <w:trHeight w:val="65"/>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F898B6"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Podmiot, który będzie wnioskodawcą</w:t>
            </w:r>
          </w:p>
        </w:tc>
        <w:tc>
          <w:tcPr>
            <w:tcW w:w="6234" w:type="dxa"/>
            <w:gridSpan w:val="2"/>
            <w:tcBorders>
              <w:top w:val="single" w:sz="4" w:space="0" w:color="000000"/>
              <w:left w:val="single" w:sz="4" w:space="0" w:color="000000"/>
              <w:bottom w:val="single" w:sz="4" w:space="0" w:color="000000"/>
              <w:right w:val="single" w:sz="4" w:space="0" w:color="000000"/>
            </w:tcBorders>
            <w:vAlign w:val="center"/>
          </w:tcPr>
          <w:p w14:paraId="6B075BB3" w14:textId="77777777" w:rsidR="004604C0" w:rsidRDefault="00CE3F76">
            <w:pPr>
              <w:numPr>
                <w:ilvl w:val="0"/>
                <w:numId w:val="1"/>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Ogólnopolska Federacja Organizacji Pozarządowych</w:t>
            </w:r>
          </w:p>
          <w:p w14:paraId="1455DD36" w14:textId="77777777" w:rsidR="004604C0" w:rsidRDefault="00CE3F76">
            <w:pPr>
              <w:numPr>
                <w:ilvl w:val="0"/>
                <w:numId w:val="1"/>
              </w:numPr>
              <w:pBdr>
                <w:top w:val="nil"/>
                <w:left w:val="nil"/>
                <w:bottom w:val="nil"/>
                <w:right w:val="nil"/>
                <w:between w:val="nil"/>
              </w:pBdr>
              <w:spacing w:after="240" w:line="240" w:lineRule="auto"/>
              <w:rPr>
                <w:rFonts w:ascii="Arial" w:eastAsia="Arial" w:hAnsi="Arial" w:cs="Arial"/>
                <w:color w:val="000000"/>
                <w:sz w:val="24"/>
                <w:szCs w:val="24"/>
              </w:rPr>
            </w:pPr>
            <w:r>
              <w:rPr>
                <w:rFonts w:ascii="Arial" w:eastAsia="Arial" w:hAnsi="Arial" w:cs="Arial"/>
                <w:color w:val="000000"/>
                <w:sz w:val="24"/>
                <w:szCs w:val="24"/>
              </w:rPr>
              <w:t>Polskie Forum Osób z Niepełnosprawnościami</w:t>
            </w:r>
          </w:p>
        </w:tc>
      </w:tr>
      <w:tr w:rsidR="004604C0" w14:paraId="3240C12B" w14:textId="77777777">
        <w:trPr>
          <w:trHeight w:val="65"/>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49E00586"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Uzasadnienie wyboru projektu w sposób niekonkurencyjny oraz wyboru podmiotu, który będzie wnioskodawcą:</w:t>
            </w:r>
          </w:p>
        </w:tc>
      </w:tr>
      <w:tr w:rsidR="004604C0" w14:paraId="7DD681DC" w14:textId="77777777">
        <w:trPr>
          <w:trHeight w:val="351"/>
          <w:jc w:val="center"/>
        </w:trPr>
        <w:tc>
          <w:tcPr>
            <w:tcW w:w="10485" w:type="dxa"/>
            <w:gridSpan w:val="3"/>
            <w:tcBorders>
              <w:top w:val="single" w:sz="4" w:space="0" w:color="000000"/>
              <w:left w:val="single" w:sz="4" w:space="0" w:color="000000"/>
              <w:bottom w:val="single" w:sz="4" w:space="0" w:color="000000"/>
              <w:right w:val="single" w:sz="4" w:space="0" w:color="000000"/>
            </w:tcBorders>
            <w:vAlign w:val="center"/>
          </w:tcPr>
          <w:p w14:paraId="793F6024"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Organizacje pozarządowe reprezentujące społeczeństwo obywatelskie są wymienione w Programie Pomoc Techniczna dla Funduszy Europejskich jako wchodzące w skład grupy partnerów spoza administracji.</w:t>
            </w:r>
          </w:p>
          <w:p w14:paraId="0F5836E6" w14:textId="77777777" w:rsidR="004604C0" w:rsidRDefault="004604C0">
            <w:pPr>
              <w:spacing w:before="60" w:after="60" w:line="240" w:lineRule="auto"/>
              <w:jc w:val="both"/>
              <w:rPr>
                <w:rFonts w:ascii="Arial" w:eastAsia="Arial" w:hAnsi="Arial" w:cs="Arial"/>
                <w:sz w:val="24"/>
                <w:szCs w:val="24"/>
              </w:rPr>
            </w:pPr>
          </w:p>
          <w:p w14:paraId="463EC5BC" w14:textId="77777777" w:rsidR="004604C0" w:rsidRDefault="00CE3F76">
            <w:pPr>
              <w:spacing w:before="60" w:after="60" w:line="240" w:lineRule="auto"/>
              <w:jc w:val="both"/>
              <w:rPr>
                <w:rFonts w:ascii="Arial" w:eastAsia="Arial" w:hAnsi="Arial" w:cs="Arial"/>
                <w:sz w:val="24"/>
                <w:szCs w:val="24"/>
              </w:rPr>
            </w:pPr>
            <w:r>
              <w:rPr>
                <w:rFonts w:ascii="Arial" w:eastAsia="Arial" w:hAnsi="Arial" w:cs="Arial"/>
                <w:sz w:val="24"/>
                <w:szCs w:val="24"/>
              </w:rPr>
              <w:t xml:space="preserve">Zważywszy na istotną rolę zorganizowanego społeczeństwa obywatelskiego, w tym szczególnie reprezentatywnych ponadbranżowych i branżowych federacji krajowych organizacji pozarządowych, w programowaniu, wdrażaniu i monitorowaniu Funduszy Europejskich pod kątem ich przejrzystości i efektywności, a także pod kątem przestrzegania zasady partnerstwa oraz zasad horyzontalnych, a także ze względu na potrzebę upowszechniania wśród organizacji pozarządowych wiedzy i kompetencji dotyczących świadomego korzystania z Funduszy Europejskich, w tym prowadzenia projektów, prawidłowego rozliczania, udziału w monitorowaniu wdrażania oraz w procesach programowania, należy przyjąć, że to same organizacje pozarządowe powinny realizować działania badawcze, edukacyjne i rzecznicze wobec swojego sektora. </w:t>
            </w:r>
          </w:p>
          <w:p w14:paraId="71348F44" w14:textId="77777777" w:rsidR="004604C0" w:rsidRDefault="004604C0">
            <w:pPr>
              <w:spacing w:before="60" w:after="60" w:line="240" w:lineRule="auto"/>
              <w:jc w:val="both"/>
              <w:rPr>
                <w:rFonts w:ascii="Arial" w:eastAsia="Arial" w:hAnsi="Arial" w:cs="Arial"/>
                <w:sz w:val="24"/>
                <w:szCs w:val="24"/>
              </w:rPr>
            </w:pPr>
          </w:p>
          <w:p w14:paraId="086918F8" w14:textId="4AA98A9E"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Pogląd ten potwierdziło stanowisko członków Podkomitetu ds. Rozwoju Partnerstwa na lata 2021-2027 reprezentujących organizacje społeczeństwa obywatelskiego dotyczące propozycji Ministerstwa Funduszy i Polityki Regionalnej włączenia partnerów spoza administracji do realizacji działań z zakresu komunikacji, informacji i promocji Funduszy Europejskich na lata 2021-2027 z dnia 5 października 2023 roku. Później uchwałą nr 4 podjętą w trybie obiegowym 20 marca 2024 roku Komitet Monitorujący Program Pomoc Techniczna dla Funduszy Europejskich 2021-2027 (PT FE) przyjął do realizacji projekt wspierany przez konsorcjum organizacji pozarządowych, w tym lidera wskazanego w tej fiszce. Przez ostatnie dwa lata konsorcjum organizacji pozarządowych z powodzeniem realizowało ww. działania.</w:t>
            </w:r>
          </w:p>
          <w:p w14:paraId="42EF9FE9" w14:textId="3BC8F84E" w:rsidR="004604C0" w:rsidRDefault="00774744">
            <w:pPr>
              <w:spacing w:before="60" w:after="60" w:line="240" w:lineRule="auto"/>
              <w:rPr>
                <w:rFonts w:ascii="Arial" w:eastAsia="Arial" w:hAnsi="Arial" w:cs="Arial"/>
                <w:sz w:val="24"/>
                <w:szCs w:val="24"/>
              </w:rPr>
            </w:pPr>
            <w:r w:rsidRPr="00581491">
              <w:rPr>
                <w:rFonts w:ascii="Arial" w:eastAsia="Arial" w:hAnsi="Arial" w:cs="Arial"/>
                <w:sz w:val="24"/>
                <w:szCs w:val="24"/>
              </w:rPr>
              <w:t xml:space="preserve">Natomiast 21 kwietnia 2026 r. </w:t>
            </w:r>
            <w:r w:rsidRPr="00581491">
              <w:rPr>
                <w:rFonts w:ascii="Arial" w:hAnsi="Arial" w:cs="Arial"/>
                <w:sz w:val="24"/>
                <w:szCs w:val="24"/>
              </w:rPr>
              <w:t xml:space="preserve">zostało podpisane  Stanowisko Prezydium Podkomitetu ds. rozwoju partnerstwa na lata 2021-2027  dotyczące propozycji Ministerstwa Funduszy i Polityki Regionalnej włączenia partnerów spoza administracji do realizacji działań wzmacniających udział organizacji pozarządowych i wspierających administrację w programowaniu i wdrażaniu Funduszy Europejskich. Oznacza to, że Prezydium Podkomitetu ds. rozwoju partnerstwa </w:t>
            </w:r>
            <w:r w:rsidRPr="00581491">
              <w:rPr>
                <w:rFonts w:ascii="Arial" w:hAnsi="Arial" w:cs="Arial"/>
                <w:sz w:val="24"/>
                <w:szCs w:val="24"/>
              </w:rPr>
              <w:lastRenderedPageBreak/>
              <w:t>przychyliło się do propozycji Ministerstwa Funduszy i Polityki Regionalnej  i przyjęcia do dofinansowania w trybie niekonkurencyjnym dwóch projektów dotacyjnych z zakresu działań wzmacniających udział organizacji pozarządowych i wspierających administrację w programowaniu i wdrażaniu Funduszy Europejskich na lata 2021-2027 w łącznej kwocie 4 milionów złotych na okres dwóch lat, w zakresie stanowiącym załącznik do niniejszego stanowiska.</w:t>
            </w:r>
          </w:p>
        </w:tc>
      </w:tr>
      <w:tr w:rsidR="004604C0" w14:paraId="03A48A16" w14:textId="77777777">
        <w:trPr>
          <w:trHeight w:val="60"/>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40DB6B"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lastRenderedPageBreak/>
              <w:t>Typ/ typy projektów</w:t>
            </w:r>
          </w:p>
        </w:tc>
        <w:tc>
          <w:tcPr>
            <w:tcW w:w="6234" w:type="dxa"/>
            <w:gridSpan w:val="2"/>
            <w:tcBorders>
              <w:top w:val="single" w:sz="4" w:space="0" w:color="000000"/>
              <w:left w:val="single" w:sz="4" w:space="0" w:color="000000"/>
              <w:bottom w:val="single" w:sz="4" w:space="0" w:color="000000"/>
              <w:right w:val="single" w:sz="4" w:space="0" w:color="000000"/>
            </w:tcBorders>
            <w:vAlign w:val="center"/>
          </w:tcPr>
          <w:p w14:paraId="382E7382" w14:textId="77777777" w:rsidR="004604C0" w:rsidRDefault="00CE3F76">
            <w:p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Konsorcjum w projekcie przewiduje zestaw spójnych działań nastawionych na świadome korzystanie z Funduszy Europejskich przez organizacje pozarządowe, w tym na poprawę jakości prowadzenia projektów, prawidłowego rozliczania, wzmacnianie udziału w monitorowaniu oraz programowaniu. Partnerzy zobowiązują się do:</w:t>
            </w:r>
          </w:p>
          <w:p w14:paraId="691221AF" w14:textId="77777777" w:rsidR="004604C0" w:rsidRDefault="00CE3F76">
            <w:pPr>
              <w:numPr>
                <w:ilvl w:val="0"/>
                <w:numId w:val="2"/>
              </w:numPr>
              <w:pBdr>
                <w:top w:val="nil"/>
                <w:left w:val="nil"/>
                <w:bottom w:val="nil"/>
                <w:right w:val="nil"/>
                <w:between w:val="nil"/>
              </w:pBd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rozwijania mechanizmów partnerstwa i udziału NGO w systemie FE:</w:t>
            </w:r>
          </w:p>
          <w:p w14:paraId="77A32025" w14:textId="77777777" w:rsidR="004604C0" w:rsidRDefault="00CE3F76">
            <w:pPr>
              <w:pBdr>
                <w:top w:val="nil"/>
                <w:left w:val="nil"/>
                <w:bottom w:val="nil"/>
                <w:right w:val="nil"/>
                <w:between w:val="nil"/>
              </w:pBdr>
              <w:spacing w:before="280" w:after="280" w:line="240" w:lineRule="auto"/>
              <w:ind w:left="720"/>
              <w:rPr>
                <w:rFonts w:ascii="Arial" w:eastAsia="Arial" w:hAnsi="Arial" w:cs="Arial"/>
                <w:color w:val="000000"/>
                <w:sz w:val="24"/>
                <w:szCs w:val="24"/>
              </w:rPr>
            </w:pPr>
            <w:r>
              <w:rPr>
                <w:rFonts w:ascii="Arial" w:eastAsia="Arial" w:hAnsi="Arial" w:cs="Arial"/>
                <w:color w:val="000000"/>
                <w:sz w:val="24"/>
                <w:szCs w:val="24"/>
              </w:rPr>
              <w:t>Rozwijania i animowania ogólnopolskiej sieci ds. partnerstwa i Funduszy Europejskich oraz regularnego prowadzenia spotkań i pracy eksperckiej.</w:t>
            </w:r>
            <w:r>
              <w:rPr>
                <w:rFonts w:ascii="Arial" w:eastAsia="Arial" w:hAnsi="Arial" w:cs="Arial"/>
                <w:color w:val="000000"/>
                <w:sz w:val="24"/>
                <w:szCs w:val="24"/>
              </w:rPr>
              <w:br/>
              <w:t>Prowadzenia zespołu ds. barier (w tym prac analitycznych i eksperckich) oraz wypracowywania rekomendacji usprawniających wdrażanie FE i zasady partnerstwa.</w:t>
            </w:r>
          </w:p>
          <w:p w14:paraId="48152905" w14:textId="77777777" w:rsidR="004604C0" w:rsidRDefault="00CE3F76">
            <w:pPr>
              <w:pBdr>
                <w:top w:val="nil"/>
                <w:left w:val="nil"/>
                <w:bottom w:val="nil"/>
                <w:right w:val="nil"/>
                <w:between w:val="nil"/>
              </w:pBdr>
              <w:spacing w:before="280" w:after="28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Organizacji ogólnopolskich forów wymiany doświadczeń i współpracy środowiska członków komitetów monitorujących oraz administracji i organizacji społecznych. </w:t>
            </w:r>
            <w:r>
              <w:rPr>
                <w:rFonts w:ascii="Arial" w:eastAsia="Arial" w:hAnsi="Arial" w:cs="Arial"/>
                <w:color w:val="000000"/>
                <w:sz w:val="24"/>
                <w:szCs w:val="24"/>
              </w:rPr>
              <w:br/>
            </w:r>
            <w:r>
              <w:rPr>
                <w:rFonts w:ascii="Arial" w:eastAsia="Arial" w:hAnsi="Arial" w:cs="Arial"/>
                <w:color w:val="000000"/>
                <w:sz w:val="24"/>
                <w:szCs w:val="24"/>
              </w:rPr>
              <w:br/>
              <w:t>Przygotowanie repozytorium materiałów dla członków komitetów monitorujących i organizacji zainteresowanych udziałem w systemie FE.</w:t>
            </w:r>
            <w:r>
              <w:rPr>
                <w:rFonts w:ascii="Arial" w:eastAsia="Arial" w:hAnsi="Arial" w:cs="Arial"/>
                <w:color w:val="000000"/>
                <w:sz w:val="24"/>
                <w:szCs w:val="24"/>
              </w:rPr>
              <w:br/>
            </w:r>
          </w:p>
          <w:p w14:paraId="6ED38F23" w14:textId="77777777" w:rsidR="004604C0" w:rsidRDefault="00CE3F76">
            <w:pPr>
              <w:numPr>
                <w:ilvl w:val="0"/>
                <w:numId w:val="2"/>
              </w:numPr>
              <w:pBdr>
                <w:top w:val="nil"/>
                <w:left w:val="nil"/>
                <w:bottom w:val="nil"/>
                <w:right w:val="nil"/>
                <w:between w:val="nil"/>
              </w:pBdr>
              <w:spacing w:before="280" w:after="0" w:line="240" w:lineRule="auto"/>
              <w:rPr>
                <w:rFonts w:ascii="Arial" w:eastAsia="Arial" w:hAnsi="Arial" w:cs="Arial"/>
                <w:color w:val="000000"/>
                <w:sz w:val="24"/>
                <w:szCs w:val="24"/>
              </w:rPr>
            </w:pPr>
            <w:r>
              <w:rPr>
                <w:rFonts w:ascii="Arial" w:eastAsia="Arial" w:hAnsi="Arial" w:cs="Arial"/>
                <w:color w:val="000000"/>
                <w:sz w:val="24"/>
                <w:szCs w:val="24"/>
              </w:rPr>
              <w:t>budowania kompetencji w świadomym korzystaniu z FE, w tym rozliczaniu:</w:t>
            </w:r>
            <w:r>
              <w:rPr>
                <w:rFonts w:ascii="Arial" w:eastAsia="Arial" w:hAnsi="Arial" w:cs="Arial"/>
                <w:color w:val="000000"/>
                <w:sz w:val="24"/>
                <w:szCs w:val="24"/>
              </w:rPr>
              <w:br/>
            </w:r>
            <w:r>
              <w:rPr>
                <w:rFonts w:ascii="Arial" w:eastAsia="Arial" w:hAnsi="Arial" w:cs="Arial"/>
                <w:color w:val="000000"/>
                <w:sz w:val="24"/>
                <w:szCs w:val="24"/>
              </w:rPr>
              <w:br/>
              <w:t>Realizacji cyklu webinarów edukacyjno-praktycznych (z naciskiem na stosowanie zasad, dokumentowanie i rozliczanie oraz wymagania formalne)</w:t>
            </w:r>
            <w:r>
              <w:rPr>
                <w:rFonts w:ascii="Arial" w:eastAsia="Arial" w:hAnsi="Arial" w:cs="Arial"/>
                <w:color w:val="000000"/>
                <w:sz w:val="24"/>
                <w:szCs w:val="24"/>
              </w:rPr>
              <w:br/>
            </w:r>
            <w:r>
              <w:rPr>
                <w:rFonts w:ascii="Arial" w:eastAsia="Arial" w:hAnsi="Arial" w:cs="Arial"/>
                <w:color w:val="000000"/>
                <w:sz w:val="24"/>
                <w:szCs w:val="24"/>
              </w:rPr>
              <w:br/>
              <w:t xml:space="preserve">Prowadzenia seminariów regionalnych oraz wsparcia „bliżej praktyki” w różnych częściach </w:t>
            </w:r>
            <w:r>
              <w:rPr>
                <w:rFonts w:ascii="Arial" w:eastAsia="Arial" w:hAnsi="Arial" w:cs="Arial"/>
                <w:color w:val="000000"/>
                <w:sz w:val="24"/>
                <w:szCs w:val="24"/>
              </w:rPr>
              <w:lastRenderedPageBreak/>
              <w:t>kraju.</w:t>
            </w:r>
            <w:r>
              <w:rPr>
                <w:rFonts w:ascii="Arial" w:eastAsia="Arial" w:hAnsi="Arial" w:cs="Arial"/>
                <w:color w:val="000000"/>
                <w:sz w:val="24"/>
                <w:szCs w:val="24"/>
              </w:rPr>
              <w:br/>
            </w:r>
          </w:p>
          <w:p w14:paraId="45272840" w14:textId="77777777" w:rsidR="004604C0" w:rsidRDefault="00CE3F76">
            <w:pPr>
              <w:numPr>
                <w:ilvl w:val="0"/>
                <w:numId w:val="2"/>
              </w:num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zapewniania indywidualnego wsparcia eksperckiego dla NGO:</w:t>
            </w:r>
          </w:p>
          <w:p w14:paraId="0A4006E1" w14:textId="77777777" w:rsidR="004604C0" w:rsidRDefault="00CE3F76">
            <w:pPr>
              <w:pBdr>
                <w:top w:val="nil"/>
                <w:left w:val="nil"/>
                <w:bottom w:val="nil"/>
                <w:right w:val="nil"/>
                <w:between w:val="nil"/>
              </w:pBdr>
              <w:spacing w:before="280" w:after="280" w:line="240" w:lineRule="auto"/>
              <w:ind w:left="720"/>
              <w:rPr>
                <w:rFonts w:ascii="Arial" w:eastAsia="Arial" w:hAnsi="Arial" w:cs="Arial"/>
                <w:color w:val="000000"/>
                <w:sz w:val="24"/>
                <w:szCs w:val="24"/>
              </w:rPr>
            </w:pPr>
            <w:r>
              <w:rPr>
                <w:rFonts w:ascii="Arial" w:eastAsia="Arial" w:hAnsi="Arial" w:cs="Arial"/>
                <w:color w:val="000000"/>
                <w:sz w:val="24"/>
                <w:szCs w:val="24"/>
              </w:rPr>
              <w:br/>
              <w:t>Prowadzenia konsultacji i doradztwa w zakresie planowania projektów oraz zgodności z wymogami programów, w tym zasad horyzontalnych</w:t>
            </w:r>
          </w:p>
          <w:p w14:paraId="5554A13B" w14:textId="77777777" w:rsidR="004604C0" w:rsidRDefault="00CE3F76">
            <w:pPr>
              <w:pBdr>
                <w:top w:val="nil"/>
                <w:left w:val="nil"/>
                <w:bottom w:val="nil"/>
                <w:right w:val="nil"/>
                <w:between w:val="nil"/>
              </w:pBdr>
              <w:spacing w:before="280" w:after="280" w:line="240" w:lineRule="auto"/>
              <w:ind w:left="720"/>
              <w:rPr>
                <w:rFonts w:ascii="Arial" w:eastAsia="Arial" w:hAnsi="Arial" w:cs="Arial"/>
                <w:color w:val="000000"/>
                <w:sz w:val="24"/>
                <w:szCs w:val="24"/>
              </w:rPr>
            </w:pPr>
            <w:r>
              <w:rPr>
                <w:rFonts w:ascii="Arial" w:eastAsia="Arial" w:hAnsi="Arial" w:cs="Arial"/>
                <w:color w:val="000000"/>
                <w:sz w:val="24"/>
                <w:szCs w:val="24"/>
              </w:rPr>
              <w:br/>
              <w:t>Wzmacniania zdolności organizacji do bezpiecznego i poprawnego korzystania ze środków oraz do reagowania na typowe ryzyka wdrożeniowe.</w:t>
            </w:r>
          </w:p>
          <w:p w14:paraId="2ABA36D1" w14:textId="77777777" w:rsidR="004604C0" w:rsidRDefault="00CE3F76">
            <w:pPr>
              <w:numPr>
                <w:ilvl w:val="0"/>
                <w:numId w:val="2"/>
              </w:numPr>
              <w:pBdr>
                <w:top w:val="nil"/>
                <w:left w:val="nil"/>
                <w:bottom w:val="nil"/>
                <w:right w:val="nil"/>
                <w:between w:val="nil"/>
              </w:pBdr>
              <w:spacing w:before="280" w:after="0" w:line="240" w:lineRule="auto"/>
              <w:rPr>
                <w:rFonts w:ascii="Arial" w:eastAsia="Arial" w:hAnsi="Arial" w:cs="Arial"/>
                <w:color w:val="000000"/>
                <w:sz w:val="24"/>
                <w:szCs w:val="24"/>
              </w:rPr>
            </w:pPr>
            <w:r>
              <w:rPr>
                <w:rFonts w:ascii="Arial" w:eastAsia="Arial" w:hAnsi="Arial" w:cs="Arial"/>
                <w:color w:val="000000"/>
                <w:sz w:val="24"/>
                <w:szCs w:val="24"/>
              </w:rPr>
              <w:t>tworzenia praktycznych materiałów i narzędzi do stosowania zasad FE:</w:t>
            </w:r>
            <w:r>
              <w:rPr>
                <w:rFonts w:ascii="Arial" w:eastAsia="Arial" w:hAnsi="Arial" w:cs="Arial"/>
                <w:color w:val="000000"/>
                <w:sz w:val="24"/>
                <w:szCs w:val="24"/>
              </w:rPr>
              <w:br/>
            </w:r>
            <w:r>
              <w:rPr>
                <w:rFonts w:ascii="Arial" w:eastAsia="Arial" w:hAnsi="Arial" w:cs="Arial"/>
                <w:color w:val="000000"/>
                <w:sz w:val="24"/>
                <w:szCs w:val="24"/>
              </w:rPr>
              <w:br/>
              <w:t>Opracowywania i redagowania materiałów (broszur, przewodników, zestawów narzędzi) dotyczących zasad horyzontalnych oraz standardów wdrażania.</w:t>
            </w:r>
            <w:r>
              <w:rPr>
                <w:rFonts w:ascii="Arial" w:eastAsia="Arial" w:hAnsi="Arial" w:cs="Arial"/>
                <w:color w:val="000000"/>
                <w:sz w:val="24"/>
                <w:szCs w:val="24"/>
              </w:rPr>
              <w:br/>
            </w:r>
          </w:p>
          <w:p w14:paraId="44D5B65C" w14:textId="77777777" w:rsidR="004604C0" w:rsidRDefault="00CE3F76">
            <w:pPr>
              <w:numPr>
                <w:ilvl w:val="0"/>
                <w:numId w:val="2"/>
              </w:num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wzmacniania perspektywy praw i włączenia osób z niepełnosprawnościami w działaniach finansowanych z UE:</w:t>
            </w:r>
            <w:r>
              <w:rPr>
                <w:rFonts w:ascii="Arial" w:eastAsia="Arial" w:hAnsi="Arial" w:cs="Arial"/>
                <w:color w:val="000000"/>
                <w:sz w:val="24"/>
                <w:szCs w:val="24"/>
              </w:rPr>
              <w:br/>
            </w:r>
            <w:r>
              <w:rPr>
                <w:rFonts w:ascii="Arial" w:eastAsia="Arial" w:hAnsi="Arial" w:cs="Arial"/>
                <w:color w:val="000000"/>
                <w:sz w:val="24"/>
                <w:szCs w:val="24"/>
              </w:rPr>
              <w:br/>
              <w:t>Organizacji ogólnopolskich wydarzeń środowiskowych (kongresów) jako platformy dialogu, rzecznictwa i wymiany doświadczeń.</w:t>
            </w:r>
            <w:r>
              <w:rPr>
                <w:rFonts w:ascii="Arial" w:eastAsia="Arial" w:hAnsi="Arial" w:cs="Arial"/>
                <w:color w:val="000000"/>
                <w:sz w:val="24"/>
                <w:szCs w:val="24"/>
              </w:rPr>
              <w:br/>
            </w:r>
            <w:r>
              <w:rPr>
                <w:rFonts w:ascii="Arial" w:eastAsia="Arial" w:hAnsi="Arial" w:cs="Arial"/>
                <w:color w:val="000000"/>
                <w:sz w:val="24"/>
                <w:szCs w:val="24"/>
              </w:rPr>
              <w:br/>
              <w:t>Zapewnienia stałej analizy i monitorowania bieżącej sytuacji w obszarze praw osób z niepełnosprawnościami w kontekście wdrażania FE i standardów międzynarodowych.</w:t>
            </w:r>
            <w:r>
              <w:rPr>
                <w:rFonts w:ascii="Arial" w:eastAsia="Arial" w:hAnsi="Arial" w:cs="Arial"/>
                <w:color w:val="000000"/>
                <w:sz w:val="24"/>
                <w:szCs w:val="24"/>
              </w:rPr>
              <w:br/>
            </w:r>
            <w:r>
              <w:rPr>
                <w:rFonts w:ascii="Arial" w:eastAsia="Arial" w:hAnsi="Arial" w:cs="Arial"/>
                <w:color w:val="000000"/>
                <w:sz w:val="24"/>
                <w:szCs w:val="24"/>
              </w:rPr>
              <w:br/>
              <w:t>Realizacji wydarzeń eksperckich (w tym konferencji tematycznych) porządkujących wiedzę, ryzyka i dobre praktyki wdrażania.</w:t>
            </w:r>
          </w:p>
          <w:p w14:paraId="55C1B75F" w14:textId="77777777" w:rsidR="004604C0" w:rsidRDefault="004604C0">
            <w:pPr>
              <w:pBdr>
                <w:top w:val="nil"/>
                <w:left w:val="nil"/>
                <w:bottom w:val="nil"/>
                <w:right w:val="nil"/>
                <w:between w:val="nil"/>
              </w:pBdr>
              <w:spacing w:before="280" w:line="240" w:lineRule="auto"/>
              <w:rPr>
                <w:rFonts w:ascii="Arial" w:eastAsia="Arial" w:hAnsi="Arial" w:cs="Arial"/>
                <w:color w:val="000000"/>
                <w:sz w:val="24"/>
                <w:szCs w:val="24"/>
              </w:rPr>
            </w:pPr>
          </w:p>
        </w:tc>
      </w:tr>
      <w:tr w:rsidR="004604C0" w14:paraId="1CD1FF25"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5A5227E9"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lastRenderedPageBreak/>
              <w:t>Cel główny projektu:</w:t>
            </w:r>
          </w:p>
        </w:tc>
      </w:tr>
      <w:tr w:rsidR="004604C0" w14:paraId="25361E1B"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vAlign w:val="center"/>
          </w:tcPr>
          <w:p w14:paraId="3F35FEB1"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lastRenderedPageBreak/>
              <w:t>Celem projektu jest wzmocnienie kompetencji i współpracy przedstawicieli organizacji pozarządowych, tak, aby skuteczniej wpływali na jakość wdrażania programów – szczególnie w obszarze dostępności i zasad horyzontalnych. Projekt dostarczy praktycznych narzędzi, wiedzy i rekomendacji, które przełożą się na bardziej partnerskie, inkluzywne i rozliczalne wykorzystanie środków UE (w tym w logice rozliczania efektów, ważnej m.in. dla KPO).</w:t>
            </w:r>
          </w:p>
          <w:p w14:paraId="15789462" w14:textId="77777777" w:rsidR="004604C0" w:rsidRDefault="004604C0">
            <w:pPr>
              <w:pBdr>
                <w:top w:val="nil"/>
                <w:left w:val="nil"/>
                <w:bottom w:val="nil"/>
                <w:right w:val="nil"/>
                <w:between w:val="nil"/>
              </w:pBdr>
              <w:spacing w:after="120" w:line="240" w:lineRule="auto"/>
              <w:rPr>
                <w:rFonts w:ascii="Arial" w:eastAsia="Arial" w:hAnsi="Arial" w:cs="Arial"/>
                <w:sz w:val="24"/>
                <w:szCs w:val="24"/>
              </w:rPr>
            </w:pPr>
          </w:p>
          <w:p w14:paraId="4DE14366"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Wspólne działania konsorcjum będą opierały się na stałej koordynacji merytorycznej i organizacyjnej między OFOP i PFON, tak aby działania systemowe dotyczące zasady partnerstwa i udziału NGO w Funduszach Europejskich były uzupełniane perspektywą dostępności, praw osób z niepełnosprawnościami oraz praktycznego stosowania zasad horyzontalnych. Wspólny charakter będą miały przede wszystkim te elementy projektu, w których łączą się doświadczenia obu organizacji: przygotowanie i upowszechnianie materiałów edukacyjnych dla osób zaangażowanych lub planujących zaangażowanie w Komitety Monitorujące, działania informacyjne i eksperckie dotyczące zasad horyzontalnych, a także wzajemny udział w wydarzeniach ogólnopolskich.</w:t>
            </w:r>
          </w:p>
          <w:p w14:paraId="55E38B0D" w14:textId="77777777" w:rsidR="004604C0" w:rsidRDefault="004604C0">
            <w:pPr>
              <w:pBdr>
                <w:top w:val="nil"/>
                <w:left w:val="nil"/>
                <w:bottom w:val="nil"/>
                <w:right w:val="nil"/>
                <w:between w:val="nil"/>
              </w:pBdr>
              <w:spacing w:after="120" w:line="240" w:lineRule="auto"/>
              <w:ind w:hanging="2"/>
              <w:rPr>
                <w:rFonts w:ascii="Arial" w:eastAsia="Arial" w:hAnsi="Arial" w:cs="Arial"/>
                <w:sz w:val="24"/>
                <w:szCs w:val="24"/>
              </w:rPr>
            </w:pPr>
          </w:p>
          <w:p w14:paraId="155A5A40"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OFOP będzie włączał perspektywę dostępności do działań kierowanych do członków i zastępców członków Komitetów Monitorujących oraz organizacji zainteresowanych udziałem w systemie FE, natomiast PFON będzie korzystał z doświadczenia OFOP w zakresie zasady partnerstwa, pracy w Komitetach Monitorujących i rzecznictwa funduszowego. W praktyce oznacza to m.in. współpracę przy repozytorium materiałów i kursie przygotowującym do zaangażowania w obszarze Funduszy Europejskich, uwzględnienie tematyki dostępności i praw osób z niepełnosprawnościami w wybranych działaniach Kongresu Komitetów Monitorujących i Stałej Konferencji ds. Europejskich, a także udział OFOP w wydarzeniach PFON, w tym w kongresach i konferencji poświęconej Funduszom Europejskim, poprzez współtworzenie lub wzmacnianie wybranych sesji tematycznych. Wszystkie działania będą prowadzone w bliskiej koordynacji, aby materiały, wydarzenia, rekomendacje i działania doradcze wzajemnie się uzupełniały, a nie dublowały.</w:t>
            </w:r>
          </w:p>
          <w:p w14:paraId="46450BA3" w14:textId="77777777" w:rsidR="004604C0" w:rsidRDefault="004604C0">
            <w:pPr>
              <w:pBdr>
                <w:top w:val="nil"/>
                <w:left w:val="nil"/>
                <w:bottom w:val="nil"/>
                <w:right w:val="nil"/>
                <w:between w:val="nil"/>
              </w:pBdr>
              <w:spacing w:after="120" w:line="240" w:lineRule="auto"/>
              <w:ind w:hanging="2"/>
              <w:rPr>
                <w:rFonts w:ascii="Arial" w:eastAsia="Arial" w:hAnsi="Arial" w:cs="Arial"/>
                <w:sz w:val="24"/>
                <w:szCs w:val="24"/>
              </w:rPr>
            </w:pPr>
          </w:p>
          <w:p w14:paraId="61DC4381"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OFOP planuje działania skoncentrowane na wzmocnieniu realnego udziału organizacji pozarządowych w systemie Funduszy Europejskich, przede wszystkim poprzez rozwój i animowanie istniejącej Sieci ds. partnerstwa i Funduszy Europejskich, do której należy prawie 400 przedstawicieli i przedstawicielek organizacji pozarządowych. Działania OFOP będą obejmowały zbieranie doświadczeń NGO związanych z korzystaniem z Funduszy Europejskich, w tym identyfikację barier administracyjnych, problemów z dostępnością środków, trudności na różnych etapach ubiegania się o finansowanie i realizacji projektów oraz powodów nieangażowania się części organizacji w system FE. Na tej podstawie zostaną przygotowane rekomendacje i ekspertyzy służące usprawnieniu wdrażania funduszy oraz wzmacnianiu zasady partnerstwa w obecnej i przyszłej perspektywie budżetowej.</w:t>
            </w:r>
          </w:p>
          <w:p w14:paraId="5A169D27" w14:textId="77777777" w:rsidR="004604C0" w:rsidRDefault="004604C0">
            <w:pPr>
              <w:pBdr>
                <w:top w:val="nil"/>
                <w:left w:val="nil"/>
                <w:bottom w:val="nil"/>
                <w:right w:val="nil"/>
                <w:between w:val="nil"/>
              </w:pBdr>
              <w:spacing w:after="120" w:line="240" w:lineRule="auto"/>
              <w:ind w:hanging="2"/>
              <w:rPr>
                <w:rFonts w:ascii="Arial" w:eastAsia="Arial" w:hAnsi="Arial" w:cs="Arial"/>
                <w:sz w:val="24"/>
                <w:szCs w:val="24"/>
              </w:rPr>
            </w:pPr>
          </w:p>
          <w:p w14:paraId="3097D396"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 xml:space="preserve">Równolegle OFOP będzie budował kompetencje środowiska pozarządowego i osób zaangażowanych w prace Komitetów Monitorujących. Służyć temu będzie kurs onboardingowy oraz repozytorium materiałów dla członków i zastępców członków Komitetów Monitorujących, a </w:t>
            </w:r>
            <w:r>
              <w:rPr>
                <w:rFonts w:ascii="Arial" w:eastAsia="Arial" w:hAnsi="Arial" w:cs="Arial"/>
                <w:sz w:val="24"/>
                <w:szCs w:val="24"/>
              </w:rPr>
              <w:lastRenderedPageBreak/>
              <w:t>także dla organizacji, które nie są jeszcze aktywne w obszarze Funduszy Europejskich, ale chcą zdobyć wiedzę i umiejętności potrzebne do rzecznictwa. Kurs będzie praktycznym przewodnikiem po prawach i obowiązkach członków KM, mechanizmach wpływu społeczeństwa obywatelskiego na system FE oraz nowych sposobach rozliczania środków, w tym w kontekście KPO. Działania edukacyjne będą uzupełniane materiałami praktycznymi o zasadach horyzontalnych, w szczególności o zasadzie partnerstwa i Karcie Praw Podstawowych, a także webinarami, spotkaniami online i spotkaniami stacjonarnymi Sieci. Ważnym elementem działań OFOP będą również ogólnopolskie wydarzenia sieciujące i porządkujące współpracę: Kongres Komitetów Monitorujących oraz Stała Konferencja ds. Europejskich, adresowane zarówno do przedstawicieli NGO, jak i administracji publicznej zarządzającej środkami europejskimi.</w:t>
            </w:r>
          </w:p>
          <w:p w14:paraId="4B9CE2FB" w14:textId="77777777" w:rsidR="004604C0" w:rsidRDefault="004604C0">
            <w:pPr>
              <w:pBdr>
                <w:top w:val="nil"/>
                <w:left w:val="nil"/>
                <w:bottom w:val="nil"/>
                <w:right w:val="nil"/>
                <w:between w:val="nil"/>
              </w:pBdr>
              <w:spacing w:after="120" w:line="240" w:lineRule="auto"/>
              <w:ind w:hanging="2"/>
              <w:rPr>
                <w:rFonts w:ascii="Arial" w:eastAsia="Arial" w:hAnsi="Arial" w:cs="Arial"/>
                <w:sz w:val="24"/>
                <w:szCs w:val="24"/>
              </w:rPr>
            </w:pPr>
          </w:p>
          <w:p w14:paraId="5CBC8795"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 xml:space="preserve">PFON planuje działania odpowiadające na wyraźnie zidentyfikowaną potrzebę wzmacniania organizacji pozarządowych tworzonych przez osoby z niepełnosprawnościami oraz organizacji działających na rzecz osób z niepełnosprawnościami. W obecnej perspektywie finansowej coraz większa część zmian systemowych, usług wsparcia i rozwiązań dotyczących niezależnego życia, dostępności, zatrudnienia, mieszkalnictwa wspomaganego czy deinstytucjonalizacji jest rozwijana lub wdrażana z wykorzystaniem środków Unii Europejskiej. </w:t>
            </w:r>
          </w:p>
          <w:p w14:paraId="47AA3525" w14:textId="77777777" w:rsidR="004604C0" w:rsidRDefault="004604C0">
            <w:pPr>
              <w:pBdr>
                <w:top w:val="nil"/>
                <w:left w:val="nil"/>
                <w:bottom w:val="nil"/>
                <w:right w:val="nil"/>
                <w:between w:val="nil"/>
              </w:pBdr>
              <w:spacing w:after="120" w:line="240" w:lineRule="auto"/>
              <w:ind w:hanging="2"/>
              <w:rPr>
                <w:rFonts w:ascii="Arial" w:eastAsia="Arial" w:hAnsi="Arial" w:cs="Arial"/>
                <w:sz w:val="24"/>
                <w:szCs w:val="24"/>
              </w:rPr>
            </w:pPr>
          </w:p>
          <w:p w14:paraId="67C5BA5C" w14:textId="2B0D64E0"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Odpowiedzią PFON będzie pakiet działań łączący upowszechnianie wiedzy, wzmacnianie rzecznictwa, komunikację dostępną oraz indywidualne wsparcie organizacji. PFON będzie kontynuował cykl podcastów „Osoba z unijnością”, przygotuje infografiki przekładające złożone informacje o Funduszach Europejskich i zasadach horyzontalnych na przystępną formę, a także będzie prowadził cykliczny newsletter dotyczący bieżących zagadnień związanych z projektem. PFON będzie również organizował wydarzenia służące upowszechnianiu wiedzy i wzmacnianiu środowiska. W ramach projektu odbędą się dwie edycje Kongresu Osób z</w:t>
            </w:r>
            <w:r w:rsidR="00B25A0D">
              <w:rPr>
                <w:rFonts w:ascii="Arial" w:eastAsia="Arial" w:hAnsi="Arial" w:cs="Arial"/>
                <w:sz w:val="24"/>
                <w:szCs w:val="24"/>
              </w:rPr>
              <w:t xml:space="preserve"> </w:t>
            </w:r>
            <w:r>
              <w:rPr>
                <w:rFonts w:ascii="Arial" w:eastAsia="Arial" w:hAnsi="Arial" w:cs="Arial"/>
                <w:sz w:val="24"/>
                <w:szCs w:val="24"/>
              </w:rPr>
              <w:t>Niepełnosprawnościami, realizowane jako wydarzenia w pełni dostępne, z zapewnieniem m.in. tłumaczenia na polski język migowy, napisów na żywo, pętli indukcyjnej, wsparcia asystenckiego, komfortki oraz udziału hybrydowego. Dodatkowo PFON zorganizuje konferencję im. Anny Drabarz dotyczącą Funduszy Europejskich w obecnej perspektywie finansowej, realizowaną we współpracy ze Szkołą Główną Handlową, a także cykl webinarów edukacyjno-praktycznych i seminariów regionalnych poświęconych bieżącym tematom związanym ze wsparciem osób z niepełnosprawnościami z Funduszy Europejskich.</w:t>
            </w:r>
          </w:p>
          <w:p w14:paraId="278B472C" w14:textId="77777777" w:rsidR="004604C0" w:rsidRDefault="00CE3F76">
            <w:pPr>
              <w:pBdr>
                <w:top w:val="nil"/>
                <w:left w:val="nil"/>
                <w:bottom w:val="nil"/>
                <w:right w:val="nil"/>
                <w:between w:val="nil"/>
              </w:pBdr>
              <w:spacing w:after="120" w:line="240" w:lineRule="auto"/>
              <w:ind w:hanging="2"/>
              <w:rPr>
                <w:rFonts w:ascii="Arial" w:eastAsia="Arial" w:hAnsi="Arial" w:cs="Arial"/>
                <w:sz w:val="24"/>
                <w:szCs w:val="24"/>
              </w:rPr>
            </w:pPr>
            <w:r>
              <w:rPr>
                <w:rFonts w:ascii="Arial" w:eastAsia="Arial" w:hAnsi="Arial" w:cs="Arial"/>
                <w:sz w:val="24"/>
                <w:szCs w:val="24"/>
              </w:rPr>
              <w:t>Istotnym elementem działań PFON będzie indywidualne wspieranie konkretnych organizacji pozarządowych w ubieganiu się o środki UE, realizacji projektów, rozliczaniu, przygotowaniu do kontroli i prawidłowym zamykaniu projektów. Doradztwo będzie miało praktyczny charakter i obejmie cały cykl życia projektu: od wyboru właściwego programu i konkursu, przez przygotowanie wniosku i budżetu, po wdrożenie działań, monitorowanie wskaźników, dokumentowanie wydatków, obsługę kontroli i zamknięcie projektu. Dzięki temu PFON będzie pomagał organizacjom nie tylko poznać Fundusze Europejskie, ale przede wszystkim bezpiecznie i skutecznie z nich korzystać, zgodnie z zasadami horyzontalnymi, dostępnością i Konwencją ONZ o prawach osób z niepełnosprawnościami.</w:t>
            </w:r>
          </w:p>
        </w:tc>
      </w:tr>
      <w:tr w:rsidR="004604C0" w14:paraId="7BF97E5E" w14:textId="77777777">
        <w:trPr>
          <w:trHeight w:val="279"/>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282DB159"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lastRenderedPageBreak/>
              <w:t>Główne zadania przewidziane do realizacji w projekcie:</w:t>
            </w:r>
          </w:p>
        </w:tc>
      </w:tr>
      <w:tr w:rsidR="004604C0" w14:paraId="67219B12" w14:textId="77777777">
        <w:trPr>
          <w:trHeight w:val="279"/>
          <w:jc w:val="center"/>
        </w:trPr>
        <w:tc>
          <w:tcPr>
            <w:tcW w:w="10485" w:type="dxa"/>
            <w:gridSpan w:val="3"/>
            <w:tcBorders>
              <w:top w:val="single" w:sz="4" w:space="0" w:color="000000"/>
              <w:left w:val="single" w:sz="4" w:space="0" w:color="000000"/>
              <w:bottom w:val="single" w:sz="4" w:space="0" w:color="000000"/>
              <w:right w:val="single" w:sz="4" w:space="0" w:color="000000"/>
            </w:tcBorders>
            <w:vAlign w:val="center"/>
          </w:tcPr>
          <w:p w14:paraId="2D71D097" w14:textId="77777777" w:rsidR="004604C0" w:rsidRDefault="00CE3F76">
            <w:pPr>
              <w:spacing w:before="240" w:after="0" w:line="276" w:lineRule="auto"/>
              <w:ind w:right="-108"/>
              <w:rPr>
                <w:rFonts w:ascii="Arial" w:eastAsia="Arial" w:hAnsi="Arial" w:cs="Arial"/>
                <w:b/>
                <w:bCs/>
                <w:sz w:val="24"/>
                <w:szCs w:val="24"/>
                <w:u w:val="single"/>
              </w:rPr>
            </w:pPr>
            <w:r>
              <w:rPr>
                <w:rFonts w:ascii="Arial" w:eastAsia="Arial" w:hAnsi="Arial" w:cs="Arial"/>
                <w:b/>
                <w:bCs/>
                <w:sz w:val="24"/>
                <w:szCs w:val="24"/>
                <w:u w:val="single"/>
              </w:rPr>
              <w:lastRenderedPageBreak/>
              <w:t>Główni odbiorcy działań Konsorcjum:</w:t>
            </w:r>
          </w:p>
          <w:p w14:paraId="025BEED3" w14:textId="77777777" w:rsidR="004604C0" w:rsidRDefault="00CE3F76">
            <w:pPr>
              <w:numPr>
                <w:ilvl w:val="0"/>
                <w:numId w:val="4"/>
              </w:numPr>
              <w:pBdr>
                <w:top w:val="nil"/>
                <w:left w:val="nil"/>
                <w:bottom w:val="nil"/>
                <w:right w:val="nil"/>
                <w:between w:val="nil"/>
              </w:pBdr>
              <w:spacing w:after="0" w:line="276" w:lineRule="auto"/>
              <w:rPr>
                <w:rFonts w:ascii="Arial" w:eastAsia="Arial" w:hAnsi="Arial" w:cs="Arial"/>
                <w:sz w:val="24"/>
                <w:szCs w:val="24"/>
              </w:rPr>
            </w:pPr>
            <w:r>
              <w:rPr>
                <w:rFonts w:ascii="Arial" w:eastAsia="Arial" w:hAnsi="Arial" w:cs="Arial"/>
                <w:sz w:val="24"/>
                <w:szCs w:val="24"/>
              </w:rPr>
              <w:t>Organizacje pozarządowe,</w:t>
            </w:r>
          </w:p>
          <w:p w14:paraId="1BE5D073" w14:textId="77777777" w:rsidR="004604C0" w:rsidRDefault="00CE3F76">
            <w:pPr>
              <w:numPr>
                <w:ilvl w:val="0"/>
                <w:numId w:val="4"/>
              </w:numPr>
              <w:pBdr>
                <w:top w:val="nil"/>
                <w:left w:val="nil"/>
                <w:bottom w:val="nil"/>
                <w:right w:val="nil"/>
                <w:between w:val="nil"/>
              </w:pBdr>
              <w:spacing w:after="0" w:line="276" w:lineRule="auto"/>
              <w:rPr>
                <w:rFonts w:ascii="Arial" w:eastAsia="Arial" w:hAnsi="Arial" w:cs="Arial"/>
                <w:sz w:val="24"/>
                <w:szCs w:val="24"/>
              </w:rPr>
            </w:pPr>
            <w:r>
              <w:rPr>
                <w:rFonts w:ascii="Arial" w:eastAsia="Arial" w:hAnsi="Arial" w:cs="Arial"/>
                <w:sz w:val="24"/>
                <w:szCs w:val="24"/>
              </w:rPr>
              <w:t>Obywatele i obywatelki niestowarzyszeni w organizacjach,</w:t>
            </w:r>
          </w:p>
          <w:p w14:paraId="5A7A7D4E" w14:textId="77777777" w:rsidR="004604C0" w:rsidRDefault="00CE3F76">
            <w:pPr>
              <w:numPr>
                <w:ilvl w:val="0"/>
                <w:numId w:val="4"/>
              </w:numPr>
              <w:pBdr>
                <w:top w:val="nil"/>
                <w:left w:val="nil"/>
                <w:bottom w:val="nil"/>
                <w:right w:val="nil"/>
                <w:between w:val="nil"/>
              </w:pBdr>
              <w:spacing w:after="0" w:line="276" w:lineRule="auto"/>
              <w:rPr>
                <w:rFonts w:ascii="Arial" w:eastAsia="Arial" w:hAnsi="Arial" w:cs="Arial"/>
                <w:sz w:val="24"/>
                <w:szCs w:val="24"/>
              </w:rPr>
            </w:pPr>
            <w:r>
              <w:rPr>
                <w:rFonts w:ascii="Arial" w:eastAsia="Arial" w:hAnsi="Arial" w:cs="Arial"/>
                <w:sz w:val="24"/>
                <w:szCs w:val="24"/>
              </w:rPr>
              <w:t>Organizacje członkowskie federacji,</w:t>
            </w:r>
          </w:p>
          <w:p w14:paraId="28260CA7" w14:textId="77777777" w:rsidR="004604C0" w:rsidRDefault="00CE3F76">
            <w:pPr>
              <w:numPr>
                <w:ilvl w:val="0"/>
                <w:numId w:val="4"/>
              </w:numPr>
              <w:pBdr>
                <w:top w:val="nil"/>
                <w:left w:val="nil"/>
                <w:bottom w:val="nil"/>
                <w:right w:val="nil"/>
                <w:between w:val="nil"/>
              </w:pBdr>
              <w:spacing w:after="0" w:line="276" w:lineRule="auto"/>
              <w:rPr>
                <w:rFonts w:ascii="Arial" w:eastAsia="Arial" w:hAnsi="Arial" w:cs="Arial"/>
                <w:sz w:val="24"/>
                <w:szCs w:val="24"/>
              </w:rPr>
            </w:pPr>
            <w:r>
              <w:rPr>
                <w:rFonts w:ascii="Arial" w:eastAsia="Arial" w:hAnsi="Arial" w:cs="Arial"/>
                <w:sz w:val="24"/>
                <w:szCs w:val="24"/>
              </w:rPr>
              <w:t>Przedstawiciele administracji publicznej (IZ)</w:t>
            </w:r>
          </w:p>
          <w:p w14:paraId="56C02B0C" w14:textId="77777777" w:rsidR="004604C0" w:rsidRDefault="004604C0">
            <w:pPr>
              <w:spacing w:before="120" w:after="120" w:line="276" w:lineRule="auto"/>
              <w:rPr>
                <w:rFonts w:ascii="Arial" w:eastAsia="Arial" w:hAnsi="Arial" w:cs="Arial"/>
                <w:sz w:val="24"/>
                <w:szCs w:val="24"/>
              </w:rPr>
            </w:pPr>
          </w:p>
          <w:p w14:paraId="25405709" w14:textId="77777777" w:rsidR="004604C0" w:rsidRDefault="00CE3F76">
            <w:pPr>
              <w:spacing w:before="120" w:after="120" w:line="276" w:lineRule="auto"/>
              <w:rPr>
                <w:rFonts w:ascii="Arial" w:eastAsia="Arial" w:hAnsi="Arial" w:cs="Arial"/>
                <w:b/>
                <w:bCs/>
                <w:sz w:val="28"/>
                <w:szCs w:val="28"/>
              </w:rPr>
            </w:pPr>
            <w:r>
              <w:rPr>
                <w:rFonts w:ascii="Arial" w:eastAsia="Arial" w:hAnsi="Arial" w:cs="Arial"/>
                <w:b/>
                <w:bCs/>
                <w:sz w:val="28"/>
                <w:szCs w:val="28"/>
              </w:rPr>
              <w:t xml:space="preserve">Działania OFOP </w:t>
            </w:r>
          </w:p>
          <w:p w14:paraId="3057A86C" w14:textId="77777777" w:rsidR="004604C0" w:rsidRDefault="00CE3F76">
            <w:pPr>
              <w:pBdr>
                <w:top w:val="nil"/>
                <w:left w:val="nil"/>
                <w:bottom w:val="nil"/>
                <w:right w:val="nil"/>
                <w:between w:val="nil"/>
              </w:pBdr>
              <w:tabs>
                <w:tab w:val="left" w:pos="284"/>
              </w:tabs>
              <w:spacing w:line="240" w:lineRule="auto"/>
              <w:rPr>
                <w:rFonts w:ascii="Arial" w:eastAsia="Arial" w:hAnsi="Arial" w:cs="Arial"/>
                <w:b/>
                <w:bCs/>
                <w:color w:val="000000"/>
                <w:sz w:val="28"/>
                <w:szCs w:val="28"/>
              </w:rPr>
            </w:pPr>
            <w:r>
              <w:rPr>
                <w:rFonts w:ascii="Arial" w:eastAsia="Arial" w:hAnsi="Arial" w:cs="Arial"/>
                <w:b/>
                <w:bCs/>
                <w:sz w:val="28"/>
                <w:szCs w:val="28"/>
              </w:rPr>
              <w:t xml:space="preserve">I. </w:t>
            </w:r>
            <w:r>
              <w:rPr>
                <w:rFonts w:ascii="Arial" w:eastAsia="Arial" w:hAnsi="Arial" w:cs="Arial"/>
                <w:b/>
                <w:bCs/>
                <w:color w:val="000000"/>
                <w:sz w:val="28"/>
                <w:szCs w:val="28"/>
              </w:rPr>
              <w:t>Sieć ds. partnerstwa i Funduszy Europejskich - rozwój istniejącej sieci</w:t>
            </w:r>
          </w:p>
          <w:p w14:paraId="2DE4FAE5"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Do sieci  należy  prawie 400 przedstawicieli i przedstawicielek organizacji pozarządowych i zebranie doświadczeń z realizacji projektów z Funduszy Europejskich przez organizacje pozarządowe w aspekcie dostępności, obszarów tematycznych, barier administracyjnych w celu poprawy ich efektywności i sformułowania rekomendacji na przyszłą perspektywę budżetową.</w:t>
            </w:r>
          </w:p>
          <w:p w14:paraId="4479FDDB" w14:textId="77777777" w:rsidR="004604C0" w:rsidRDefault="00CE3F76">
            <w:pPr>
              <w:pBdr>
                <w:top w:val="nil"/>
                <w:left w:val="nil"/>
                <w:bottom w:val="nil"/>
                <w:right w:val="nil"/>
                <w:between w:val="nil"/>
              </w:pBdr>
              <w:tabs>
                <w:tab w:val="left" w:pos="284"/>
              </w:tabs>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a) </w:t>
            </w:r>
            <w:r>
              <w:rPr>
                <w:rFonts w:ascii="Arial" w:eastAsia="Arial" w:hAnsi="Arial" w:cs="Arial"/>
                <w:b/>
                <w:bCs/>
                <w:sz w:val="24"/>
                <w:szCs w:val="24"/>
              </w:rPr>
              <w:t>p</w:t>
            </w:r>
            <w:r>
              <w:rPr>
                <w:rFonts w:ascii="Arial" w:eastAsia="Arial" w:hAnsi="Arial" w:cs="Arial"/>
                <w:b/>
                <w:bCs/>
                <w:color w:val="000000"/>
                <w:sz w:val="24"/>
                <w:szCs w:val="24"/>
              </w:rPr>
              <w:t>rzygotowanie metodologii i narzędzi badawczych do zbierania doświadczeń NGO w obszarze barier administracyjnych: np. stworzenie ankiet, scenariuszy wywiadów;  realizacja badania z wykorzystaniem ww. narzędzi, wypracowanie rekomendacji  i ekspertyz</w:t>
            </w:r>
          </w:p>
          <w:p w14:paraId="170C8C29" w14:textId="77777777" w:rsidR="004604C0" w:rsidRDefault="004604C0">
            <w:pPr>
              <w:pBdr>
                <w:top w:val="nil"/>
                <w:left w:val="nil"/>
                <w:bottom w:val="nil"/>
                <w:right w:val="nil"/>
                <w:between w:val="nil"/>
              </w:pBdr>
              <w:tabs>
                <w:tab w:val="left" w:pos="284"/>
              </w:tabs>
              <w:spacing w:after="0" w:line="240" w:lineRule="auto"/>
              <w:rPr>
                <w:rFonts w:ascii="Arial" w:eastAsia="Arial" w:hAnsi="Arial" w:cs="Arial"/>
                <w:color w:val="000000"/>
                <w:sz w:val="24"/>
                <w:szCs w:val="24"/>
              </w:rPr>
            </w:pPr>
          </w:p>
          <w:p w14:paraId="5769ACF4" w14:textId="77777777" w:rsidR="004604C0" w:rsidRDefault="00CE3F76">
            <w:pPr>
              <w:pBdr>
                <w:top w:val="nil"/>
                <w:left w:val="nil"/>
                <w:bottom w:val="nil"/>
                <w:right w:val="nil"/>
                <w:between w:val="nil"/>
              </w:pBdr>
              <w:tabs>
                <w:tab w:val="left" w:pos="284"/>
              </w:tabs>
              <w:spacing w:line="240" w:lineRule="auto"/>
              <w:rPr>
                <w:rFonts w:ascii="Arial" w:eastAsia="Arial" w:hAnsi="Arial" w:cs="Arial"/>
                <w:color w:val="000000"/>
                <w:sz w:val="24"/>
                <w:szCs w:val="24"/>
              </w:rPr>
            </w:pPr>
            <w:r>
              <w:rPr>
                <w:rFonts w:ascii="Arial" w:eastAsia="Arial" w:hAnsi="Arial" w:cs="Arial"/>
                <w:color w:val="000000"/>
                <w:sz w:val="24"/>
                <w:szCs w:val="24"/>
              </w:rPr>
              <w:t xml:space="preserve">Przykłady narzędzi: tworzenie ankiety do przedstawicieli NGO niezasiadających w KM i niezaangażowanych w FE (żeby zbadać powody niezaangażowania); ankiety do aktywnych NGO działających w obszarze FE (na różnych etapach); ankiety do korzystających z FE; scenariusz wywiadów z organizacjami które próbowały uzyskać FE, ale z różnych powodów im się to nie udało.  </w:t>
            </w:r>
          </w:p>
          <w:p w14:paraId="0C1CDEFE"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Planowana jest realizacja badania z wykorzystaniem ww. narzędzi i wypracowanie przez zespół ds. barier rekomendacji na podstawie zebranych doświadczeń NGO</w:t>
            </w:r>
          </w:p>
          <w:p w14:paraId="4AA35B4A"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Kolejnym etapem będą ekspertyzy do rekomendacji zespołu ds. barier.</w:t>
            </w:r>
          </w:p>
          <w:p w14:paraId="77F1F561" w14:textId="77777777" w:rsidR="004604C0" w:rsidRPr="00581491" w:rsidRDefault="00CE3F76">
            <w:pPr>
              <w:tabs>
                <w:tab w:val="left" w:pos="284"/>
              </w:tabs>
              <w:spacing w:line="240" w:lineRule="auto"/>
              <w:rPr>
                <w:rFonts w:ascii="Arial" w:eastAsia="Arial" w:hAnsi="Arial" w:cs="Arial"/>
                <w:sz w:val="24"/>
                <w:szCs w:val="24"/>
              </w:rPr>
            </w:pPr>
            <w:r>
              <w:rPr>
                <w:rFonts w:ascii="Arial" w:eastAsia="Arial" w:hAnsi="Arial" w:cs="Arial"/>
                <w:b/>
                <w:bCs/>
                <w:sz w:val="24"/>
                <w:szCs w:val="24"/>
              </w:rPr>
              <w:t>b) spotkania stacjonarne Sieci OFOP ds. partnerstwa i Funduszy Europejskich</w:t>
            </w:r>
            <w:r>
              <w:rPr>
                <w:rFonts w:ascii="Arial" w:eastAsia="Arial" w:hAnsi="Arial" w:cs="Arial"/>
                <w:sz w:val="24"/>
                <w:szCs w:val="24"/>
              </w:rPr>
              <w:t xml:space="preserve">: każdorazowo dla co najmniej 40 aktywnych w tematyce Funduszy Europejskich przedstawicieli NGO, </w:t>
            </w:r>
            <w:r w:rsidRPr="00581491">
              <w:rPr>
                <w:rFonts w:ascii="Arial" w:eastAsia="Arial" w:hAnsi="Arial" w:cs="Arial"/>
                <w:sz w:val="24"/>
                <w:szCs w:val="24"/>
              </w:rPr>
              <w:t xml:space="preserve">dwa spotkania w ciągu całego projektu. Koszty obejmują wynajem sali, catering, zwrot kosztów dojazdów.  </w:t>
            </w:r>
          </w:p>
          <w:p w14:paraId="185F7FBB" w14:textId="77777777" w:rsidR="004604C0" w:rsidRDefault="00CE3F76">
            <w:pPr>
              <w:tabs>
                <w:tab w:val="left" w:pos="284"/>
              </w:tabs>
              <w:spacing w:line="240" w:lineRule="auto"/>
              <w:rPr>
                <w:rFonts w:ascii="Arial" w:eastAsia="Arial" w:hAnsi="Arial" w:cs="Arial"/>
                <w:sz w:val="24"/>
                <w:szCs w:val="24"/>
              </w:rPr>
            </w:pPr>
            <w:r w:rsidRPr="00581491">
              <w:rPr>
                <w:rFonts w:ascii="Arial" w:eastAsia="Arial" w:hAnsi="Arial" w:cs="Arial"/>
                <w:b/>
                <w:bCs/>
                <w:sz w:val="24"/>
                <w:szCs w:val="24"/>
              </w:rPr>
              <w:t>c) wystąpienia ekspertów na spotkaniach Sieci stacjonarnych (2 spotkania) i online (18 spotkań)</w:t>
            </w:r>
            <w:r w:rsidRPr="00581491">
              <w:rPr>
                <w:rFonts w:ascii="Arial" w:eastAsia="Arial" w:hAnsi="Arial" w:cs="Arial"/>
                <w:sz w:val="24"/>
                <w:szCs w:val="24"/>
              </w:rPr>
              <w:t>: łącznie 28 ekspertów na 20 spotkaniach w całym projekcie, około 15 uczestników na każdym spotkaniu online.</w:t>
            </w:r>
          </w:p>
          <w:p w14:paraId="22B3D538" w14:textId="77777777" w:rsidR="004604C0" w:rsidRDefault="00CE3F76">
            <w:pPr>
              <w:pBdr>
                <w:top w:val="nil"/>
                <w:left w:val="nil"/>
                <w:bottom w:val="nil"/>
                <w:right w:val="nil"/>
                <w:between w:val="nil"/>
              </w:pBdr>
              <w:tabs>
                <w:tab w:val="left" w:pos="284"/>
              </w:tabs>
              <w:spacing w:line="240" w:lineRule="auto"/>
              <w:rPr>
                <w:rFonts w:ascii="Arial" w:eastAsia="Arial" w:hAnsi="Arial" w:cs="Arial"/>
                <w:sz w:val="24"/>
                <w:szCs w:val="24"/>
              </w:rPr>
            </w:pPr>
            <w:r>
              <w:rPr>
                <w:rFonts w:ascii="Arial" w:eastAsia="Arial" w:hAnsi="Arial" w:cs="Arial"/>
                <w:b/>
                <w:bCs/>
                <w:sz w:val="24"/>
                <w:szCs w:val="24"/>
              </w:rPr>
              <w:t>d</w:t>
            </w:r>
            <w:r>
              <w:rPr>
                <w:rFonts w:ascii="Arial" w:eastAsia="Arial" w:hAnsi="Arial" w:cs="Arial"/>
                <w:b/>
                <w:bCs/>
                <w:color w:val="000000"/>
                <w:sz w:val="24"/>
                <w:szCs w:val="24"/>
              </w:rPr>
              <w:t>) Animator/-ka Sieci</w:t>
            </w:r>
            <w:r>
              <w:rPr>
                <w:rFonts w:ascii="Arial" w:eastAsia="Arial" w:hAnsi="Arial" w:cs="Arial"/>
                <w:b/>
                <w:bCs/>
                <w:sz w:val="24"/>
                <w:szCs w:val="24"/>
              </w:rPr>
              <w:t xml:space="preserve">: </w:t>
            </w:r>
            <w:r>
              <w:rPr>
                <w:rFonts w:ascii="Arial" w:eastAsia="Arial" w:hAnsi="Arial" w:cs="Arial"/>
                <w:color w:val="000000"/>
                <w:sz w:val="24"/>
                <w:szCs w:val="24"/>
              </w:rPr>
              <w:t>pracownik merytoryczny</w:t>
            </w:r>
            <w:r>
              <w:rPr>
                <w:rFonts w:ascii="Arial" w:eastAsia="Arial" w:hAnsi="Arial" w:cs="Arial"/>
                <w:sz w:val="24"/>
                <w:szCs w:val="24"/>
              </w:rPr>
              <w:t xml:space="preserve"> (</w:t>
            </w:r>
            <w:r>
              <w:rPr>
                <w:rFonts w:ascii="Arial" w:eastAsia="Arial" w:hAnsi="Arial" w:cs="Arial"/>
                <w:color w:val="000000"/>
                <w:sz w:val="24"/>
                <w:szCs w:val="24"/>
              </w:rPr>
              <w:t>umowa o pracę)</w:t>
            </w:r>
            <w:r>
              <w:rPr>
                <w:rFonts w:ascii="Arial" w:eastAsia="Arial" w:hAnsi="Arial" w:cs="Arial"/>
                <w:sz w:val="24"/>
                <w:szCs w:val="24"/>
              </w:rPr>
              <w:t xml:space="preserve">, </w:t>
            </w:r>
            <w:r>
              <w:rPr>
                <w:rFonts w:ascii="Arial" w:eastAsia="Arial" w:hAnsi="Arial" w:cs="Arial"/>
                <w:color w:val="000000"/>
                <w:sz w:val="24"/>
                <w:szCs w:val="24"/>
              </w:rPr>
              <w:t>odpowiedzialny za animowanie sieci, rekrutację nowych osób, dbałość o sieć, zwoływanie i prowadzenie spotkań Sieci, promocję.</w:t>
            </w:r>
          </w:p>
          <w:p w14:paraId="6807863B" w14:textId="5B8DC1C0" w:rsidR="004604C0" w:rsidRDefault="00CE3F76">
            <w:pPr>
              <w:pBdr>
                <w:top w:val="nil"/>
                <w:left w:val="nil"/>
                <w:bottom w:val="nil"/>
                <w:right w:val="nil"/>
                <w:between w:val="nil"/>
              </w:pBdr>
              <w:tabs>
                <w:tab w:val="left" w:pos="284"/>
              </w:tabs>
              <w:spacing w:after="0" w:line="240" w:lineRule="auto"/>
              <w:rPr>
                <w:rFonts w:ascii="Arial" w:eastAsia="Arial" w:hAnsi="Arial" w:cs="Arial"/>
                <w:b/>
                <w:bCs/>
                <w:color w:val="000000"/>
                <w:sz w:val="28"/>
                <w:szCs w:val="28"/>
              </w:rPr>
            </w:pPr>
            <w:r>
              <w:rPr>
                <w:rFonts w:ascii="Arial" w:eastAsia="Arial" w:hAnsi="Arial" w:cs="Arial"/>
                <w:b/>
                <w:bCs/>
                <w:sz w:val="28"/>
                <w:szCs w:val="28"/>
              </w:rPr>
              <w:lastRenderedPageBreak/>
              <w:t xml:space="preserve">II. </w:t>
            </w:r>
            <w:r>
              <w:rPr>
                <w:rFonts w:ascii="Arial" w:eastAsia="Arial" w:hAnsi="Arial" w:cs="Arial"/>
                <w:b/>
                <w:bCs/>
                <w:color w:val="000000"/>
                <w:sz w:val="28"/>
                <w:szCs w:val="28"/>
              </w:rPr>
              <w:t>Kurs onboardingowy/</w:t>
            </w:r>
            <w:r w:rsidR="00774744">
              <w:rPr>
                <w:rFonts w:ascii="Arial" w:eastAsia="Arial" w:hAnsi="Arial" w:cs="Arial"/>
                <w:b/>
                <w:bCs/>
                <w:color w:val="000000"/>
                <w:sz w:val="28"/>
                <w:szCs w:val="28"/>
              </w:rPr>
              <w:t xml:space="preserve"> </w:t>
            </w:r>
            <w:r>
              <w:rPr>
                <w:rFonts w:ascii="Arial" w:eastAsia="Arial" w:hAnsi="Arial" w:cs="Arial"/>
                <w:b/>
                <w:bCs/>
                <w:color w:val="000000"/>
                <w:sz w:val="28"/>
                <w:szCs w:val="28"/>
              </w:rPr>
              <w:t xml:space="preserve">przygotowujący do zaangażowania w obszarze Funduszy  Europejskich </w:t>
            </w:r>
          </w:p>
          <w:p w14:paraId="03B56AD1" w14:textId="77777777" w:rsidR="004604C0" w:rsidRDefault="004604C0">
            <w:pPr>
              <w:pBdr>
                <w:top w:val="nil"/>
                <w:left w:val="nil"/>
                <w:bottom w:val="nil"/>
                <w:right w:val="nil"/>
                <w:between w:val="nil"/>
              </w:pBdr>
              <w:rPr>
                <w:rFonts w:ascii="Arial" w:eastAsia="Arial" w:hAnsi="Arial" w:cs="Arial"/>
                <w:color w:val="000000"/>
                <w:sz w:val="24"/>
                <w:szCs w:val="24"/>
              </w:rPr>
            </w:pPr>
          </w:p>
          <w:p w14:paraId="61CF7E2F"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Przygotowanie interaktywnego kursu oraz repozytorium materiałów dla  członków  i zastępców członków Komitetów Monitorujących (krajowych i regionalnych) oraz organizacji nieaktywnych w obszarze FE, ale którzy chcą zdobywać umiejętności o rzecznictwie. Kurs będzie praktycznym przewodnikiem dla członków i zastępców po ich prawach i obowiązkach w KM i innych formach wpływu na świat FE przez przedstawicieli społeczeństwa obywatelskiego. Treści będą przydatne również dla członków Komitetów Monitorujących z administracji publicznej oraz spoza sektora NGO. Szczególne zastosowanie będzie miał dla nowo powołanych członków lub członków Komitetów w kolejnym okresie finansowania. Kurs będzie zawierał odcinki/ moduły związane z nowym sposobem rozliczania środków unijnych (KPO).</w:t>
            </w:r>
          </w:p>
          <w:p w14:paraId="7028BBFF"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b/>
                <w:bCs/>
                <w:sz w:val="24"/>
                <w:szCs w:val="24"/>
              </w:rPr>
              <w:t xml:space="preserve">a) Specjalista/-ka ds. merytorycznych: </w:t>
            </w:r>
            <w:r>
              <w:rPr>
                <w:rFonts w:ascii="Arial" w:eastAsia="Arial" w:hAnsi="Arial" w:cs="Arial"/>
                <w:sz w:val="24"/>
                <w:szCs w:val="24"/>
              </w:rPr>
              <w:t xml:space="preserve">pracownik merytoryczny (umowa o pracę) odpowiedzialny za przygotowanie koncepcji merytorycznej oraz treści kursu (ok. 8 scenariuszy i narzędzi do odcinków oraz 4 dodatkowe materiały do repozytorium). Wspiera również technicznie produkcję i promocję/dystrybucję kursu. </w:t>
            </w:r>
          </w:p>
          <w:p w14:paraId="65C10731" w14:textId="77777777" w:rsidR="004604C0" w:rsidRDefault="00CE3F76">
            <w:pPr>
              <w:tabs>
                <w:tab w:val="left" w:pos="284"/>
              </w:tabs>
              <w:spacing w:line="240" w:lineRule="auto"/>
              <w:rPr>
                <w:rFonts w:ascii="Arial" w:eastAsia="Arial" w:hAnsi="Arial" w:cs="Arial"/>
                <w:b/>
                <w:bCs/>
                <w:sz w:val="24"/>
                <w:szCs w:val="24"/>
              </w:rPr>
            </w:pPr>
            <w:r>
              <w:rPr>
                <w:rFonts w:ascii="Arial" w:eastAsia="Arial" w:hAnsi="Arial" w:cs="Arial"/>
                <w:b/>
                <w:bCs/>
                <w:sz w:val="24"/>
                <w:szCs w:val="24"/>
              </w:rPr>
              <w:t>b) redakcja i skład materiałów do repozytorium, produkcja odcinków wideo, platforma internetowa dla kursu oraz repozytorium</w:t>
            </w:r>
          </w:p>
          <w:p w14:paraId="393DCFD2"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Redakcja i skład około 12 materiałów do repozytorium, produkcja około 8 odcinków wideo, platforma internetowa dla kursu oraz repozytorium (np. licencja, serwer, domena, prace informatyczne).</w:t>
            </w:r>
          </w:p>
          <w:p w14:paraId="135A9025" w14:textId="77777777" w:rsidR="004604C0" w:rsidRDefault="00CE3F76">
            <w:pPr>
              <w:tabs>
                <w:tab w:val="left" w:pos="284"/>
              </w:tabs>
              <w:spacing w:line="240" w:lineRule="auto"/>
              <w:rPr>
                <w:rFonts w:ascii="Arial" w:eastAsia="Arial" w:hAnsi="Arial" w:cs="Arial"/>
                <w:b/>
                <w:bCs/>
                <w:sz w:val="28"/>
                <w:szCs w:val="28"/>
              </w:rPr>
            </w:pPr>
            <w:r>
              <w:rPr>
                <w:rFonts w:ascii="Arial" w:eastAsia="Arial" w:hAnsi="Arial" w:cs="Arial"/>
                <w:b/>
                <w:bCs/>
                <w:sz w:val="28"/>
                <w:szCs w:val="28"/>
              </w:rPr>
              <w:t>III. Kongres Komitetów Monitorujących i Stała Konferencja ds. Europejskich</w:t>
            </w:r>
          </w:p>
          <w:p w14:paraId="1458A1A7"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 xml:space="preserve">Realizacja dwóch edycji dwudniowego wydarzenia dla przedstawicieli NGO w komitetach monitorujących programów regionalnych i krajowych (1 dzień, ok. 70 osób) oraz dla przedstawicieli organizacji społecznych i pracowników administracji publicznej zarządzającymi środkami europejskimi (2 dzień, ok. 100 osób). Edycje będą poświęcone m.in. praktycznej stronie realizacji zasad horyzontalnych oraz nowemu sposobowi rozliczania efektów środków europejskich (KPO).  </w:t>
            </w:r>
          </w:p>
          <w:p w14:paraId="273E3EB7" w14:textId="77777777" w:rsidR="004604C0" w:rsidRDefault="00CE3F76">
            <w:pPr>
              <w:tabs>
                <w:tab w:val="left" w:pos="284"/>
              </w:tabs>
              <w:spacing w:line="240" w:lineRule="auto"/>
              <w:rPr>
                <w:rFonts w:ascii="Arial" w:eastAsia="Arial" w:hAnsi="Arial" w:cs="Arial"/>
                <w:b/>
                <w:bCs/>
                <w:sz w:val="24"/>
                <w:szCs w:val="24"/>
              </w:rPr>
            </w:pPr>
            <w:r>
              <w:rPr>
                <w:rFonts w:ascii="Arial" w:eastAsia="Arial" w:hAnsi="Arial" w:cs="Arial"/>
                <w:b/>
                <w:bCs/>
                <w:sz w:val="24"/>
                <w:szCs w:val="24"/>
              </w:rPr>
              <w:t xml:space="preserve">a) Organizacja ogólnopolskiego spotkania w 2027 r. i 2028 r. </w:t>
            </w:r>
          </w:p>
          <w:p w14:paraId="19F8AB0E" w14:textId="43AD702F"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 xml:space="preserve">Dwa wydarzenia 2-dniowe dla około 100 osób (1. dzień </w:t>
            </w:r>
            <w:r w:rsidR="00621A98">
              <w:rPr>
                <w:rFonts w:ascii="Arial" w:eastAsia="Arial" w:hAnsi="Arial" w:cs="Arial"/>
                <w:sz w:val="24"/>
                <w:szCs w:val="24"/>
              </w:rPr>
              <w:t>–</w:t>
            </w:r>
            <w:r>
              <w:rPr>
                <w:rFonts w:ascii="Arial" w:eastAsia="Arial" w:hAnsi="Arial" w:cs="Arial"/>
                <w:sz w:val="24"/>
                <w:szCs w:val="24"/>
              </w:rPr>
              <w:t xml:space="preserve"> </w:t>
            </w:r>
            <w:r w:rsidR="00621A98">
              <w:rPr>
                <w:rFonts w:ascii="Arial" w:eastAsia="Arial" w:hAnsi="Arial" w:cs="Arial"/>
                <w:sz w:val="24"/>
                <w:szCs w:val="24"/>
              </w:rPr>
              <w:t xml:space="preserve">ok. </w:t>
            </w:r>
            <w:r>
              <w:rPr>
                <w:rFonts w:ascii="Arial" w:eastAsia="Arial" w:hAnsi="Arial" w:cs="Arial"/>
                <w:sz w:val="24"/>
                <w:szCs w:val="24"/>
              </w:rPr>
              <w:t xml:space="preserve">70 osób, 2. dzień </w:t>
            </w:r>
            <w:r w:rsidR="00621A98">
              <w:rPr>
                <w:rFonts w:ascii="Arial" w:eastAsia="Arial" w:hAnsi="Arial" w:cs="Arial"/>
                <w:sz w:val="24"/>
                <w:szCs w:val="24"/>
              </w:rPr>
              <w:t>–</w:t>
            </w:r>
            <w:r>
              <w:rPr>
                <w:rFonts w:ascii="Arial" w:eastAsia="Arial" w:hAnsi="Arial" w:cs="Arial"/>
                <w:sz w:val="24"/>
                <w:szCs w:val="24"/>
              </w:rPr>
              <w:t xml:space="preserve"> </w:t>
            </w:r>
            <w:r w:rsidR="00621A98">
              <w:rPr>
                <w:rFonts w:ascii="Arial" w:eastAsia="Arial" w:hAnsi="Arial" w:cs="Arial"/>
                <w:sz w:val="24"/>
                <w:szCs w:val="24"/>
              </w:rPr>
              <w:t xml:space="preserve">ok. </w:t>
            </w:r>
            <w:r>
              <w:rPr>
                <w:rFonts w:ascii="Arial" w:eastAsia="Arial" w:hAnsi="Arial" w:cs="Arial"/>
                <w:sz w:val="24"/>
                <w:szCs w:val="24"/>
              </w:rPr>
              <w:t>100 osób), koszt obejmuje m.in. wynajem sali, catering, noclegi, zwroty kosztów podróży, transmisję online wraz z zapewnieniem jej dostępności (2. dzień) wynagrodzenie prowadzących i ekspertów.</w:t>
            </w:r>
          </w:p>
          <w:p w14:paraId="73C6F0E1" w14:textId="77777777" w:rsidR="004604C0" w:rsidRDefault="00CE3F76">
            <w:pPr>
              <w:tabs>
                <w:tab w:val="left" w:pos="284"/>
              </w:tabs>
              <w:spacing w:line="240" w:lineRule="auto"/>
              <w:rPr>
                <w:rFonts w:ascii="Arial" w:eastAsia="Arial" w:hAnsi="Arial" w:cs="Arial"/>
                <w:b/>
                <w:bCs/>
                <w:sz w:val="24"/>
                <w:szCs w:val="24"/>
              </w:rPr>
            </w:pPr>
            <w:r>
              <w:rPr>
                <w:rFonts w:ascii="Arial" w:eastAsia="Arial" w:hAnsi="Arial" w:cs="Arial"/>
                <w:b/>
                <w:bCs/>
                <w:sz w:val="24"/>
                <w:szCs w:val="24"/>
              </w:rPr>
              <w:t xml:space="preserve">b) Specjalista ds. organizacji wydarzeń  </w:t>
            </w:r>
          </w:p>
          <w:p w14:paraId="3213DBCE" w14:textId="77777777" w:rsidR="004604C0" w:rsidRDefault="00CE3F76">
            <w:pPr>
              <w:tabs>
                <w:tab w:val="left" w:pos="284"/>
              </w:tabs>
              <w:spacing w:line="240" w:lineRule="auto"/>
              <w:rPr>
                <w:rFonts w:ascii="Arial" w:eastAsia="Arial" w:hAnsi="Arial" w:cs="Arial"/>
                <w:sz w:val="24"/>
                <w:szCs w:val="24"/>
              </w:rPr>
            </w:pPr>
            <w:r>
              <w:rPr>
                <w:rFonts w:ascii="Arial" w:eastAsia="Arial" w:hAnsi="Arial" w:cs="Arial"/>
                <w:sz w:val="24"/>
                <w:szCs w:val="24"/>
              </w:rPr>
              <w:t>Pracownik zatrudniony na umowę o pracę, odpowiedzialny za przygotowanie i realizację wydarzeń.</w:t>
            </w:r>
          </w:p>
          <w:p w14:paraId="3EE42F40" w14:textId="77777777" w:rsidR="004604C0" w:rsidRDefault="00CE3F76">
            <w:pPr>
              <w:tabs>
                <w:tab w:val="left" w:pos="284"/>
              </w:tabs>
              <w:spacing w:line="240" w:lineRule="auto"/>
              <w:rPr>
                <w:rFonts w:ascii="Arial" w:eastAsia="Arial" w:hAnsi="Arial" w:cs="Arial"/>
                <w:b/>
                <w:bCs/>
                <w:sz w:val="28"/>
                <w:szCs w:val="28"/>
              </w:rPr>
            </w:pPr>
            <w:r>
              <w:rPr>
                <w:rFonts w:ascii="Arial" w:eastAsia="Arial" w:hAnsi="Arial" w:cs="Arial"/>
                <w:b/>
                <w:bCs/>
                <w:sz w:val="28"/>
                <w:szCs w:val="28"/>
              </w:rPr>
              <w:t xml:space="preserve">IV. Praktyczne materiały o zasadach horyzontalnych </w:t>
            </w:r>
          </w:p>
          <w:p w14:paraId="52F573AE" w14:textId="77777777" w:rsidR="004604C0" w:rsidRDefault="00CE3F76">
            <w:pPr>
              <w:tabs>
                <w:tab w:val="left" w:pos="0"/>
              </w:tabs>
              <w:spacing w:line="240" w:lineRule="auto"/>
              <w:rPr>
                <w:rFonts w:ascii="Arial" w:eastAsia="Arial" w:hAnsi="Arial" w:cs="Arial"/>
                <w:sz w:val="24"/>
                <w:szCs w:val="24"/>
              </w:rPr>
            </w:pPr>
            <w:r>
              <w:rPr>
                <w:rFonts w:ascii="Arial" w:eastAsia="Arial" w:hAnsi="Arial" w:cs="Arial"/>
                <w:sz w:val="24"/>
                <w:szCs w:val="24"/>
              </w:rPr>
              <w:lastRenderedPageBreak/>
              <w:t>Przygotowanie dwóch praktycznych materiałów dla NGO i pracowników administracji z zakresu zasady partnerstwa oraz stosowania Karty Praw Podstawowych. Na materiały składać się będą: przewodnik, webinar.</w:t>
            </w:r>
          </w:p>
          <w:p w14:paraId="2D63B45A" w14:textId="77777777" w:rsidR="004604C0" w:rsidRDefault="00CE3F76">
            <w:pPr>
              <w:tabs>
                <w:tab w:val="left" w:pos="0"/>
              </w:tabs>
              <w:spacing w:line="240" w:lineRule="auto"/>
              <w:rPr>
                <w:rFonts w:ascii="Arial" w:eastAsia="Arial" w:hAnsi="Arial" w:cs="Arial"/>
                <w:sz w:val="24"/>
                <w:szCs w:val="24"/>
              </w:rPr>
            </w:pPr>
            <w:r>
              <w:rPr>
                <w:rFonts w:ascii="Arial" w:eastAsia="Arial" w:hAnsi="Arial" w:cs="Arial"/>
                <w:b/>
                <w:bCs/>
                <w:sz w:val="24"/>
                <w:szCs w:val="24"/>
              </w:rPr>
              <w:t>a) Opracowanie merytoryczne 2 broszur</w:t>
            </w:r>
            <w:r>
              <w:rPr>
                <w:rFonts w:ascii="Arial" w:eastAsia="Arial" w:hAnsi="Arial" w:cs="Arial"/>
                <w:sz w:val="24"/>
                <w:szCs w:val="24"/>
              </w:rPr>
              <w:t xml:space="preserve">, ich skład i redakcja, produkcja techniczna 2 </w:t>
            </w:r>
            <w:r>
              <w:rPr>
                <w:rFonts w:ascii="Arial" w:eastAsia="Arial" w:hAnsi="Arial" w:cs="Arial"/>
                <w:b/>
                <w:bCs/>
                <w:sz w:val="24"/>
                <w:szCs w:val="24"/>
              </w:rPr>
              <w:t>webinarów</w:t>
            </w:r>
            <w:r>
              <w:rPr>
                <w:rFonts w:ascii="Arial" w:eastAsia="Arial" w:hAnsi="Arial" w:cs="Arial"/>
                <w:sz w:val="24"/>
                <w:szCs w:val="24"/>
              </w:rPr>
              <w:t xml:space="preserve"> oraz wynagrodzenie za wystąpienie na webinarach.</w:t>
            </w:r>
          </w:p>
          <w:p w14:paraId="650AA7E0" w14:textId="77777777" w:rsidR="004604C0" w:rsidRDefault="00CE3F76">
            <w:pPr>
              <w:numPr>
                <w:ilvl w:val="0"/>
                <w:numId w:val="3"/>
              </w:numPr>
              <w:pBdr>
                <w:top w:val="nil"/>
                <w:left w:val="nil"/>
                <w:bottom w:val="nil"/>
                <w:right w:val="nil"/>
                <w:between w:val="nil"/>
              </w:pBdr>
              <w:tabs>
                <w:tab w:val="left" w:pos="0"/>
              </w:tabs>
              <w:spacing w:after="0" w:line="240" w:lineRule="auto"/>
              <w:ind w:left="457" w:hanging="457"/>
              <w:rPr>
                <w:rFonts w:ascii="Arial" w:eastAsia="Arial" w:hAnsi="Arial" w:cs="Arial"/>
                <w:b/>
                <w:bCs/>
                <w:color w:val="000000"/>
                <w:sz w:val="28"/>
                <w:szCs w:val="28"/>
              </w:rPr>
            </w:pPr>
            <w:r>
              <w:rPr>
                <w:rFonts w:ascii="Arial" w:eastAsia="Arial" w:hAnsi="Arial" w:cs="Arial"/>
                <w:b/>
                <w:bCs/>
                <w:color w:val="000000"/>
                <w:sz w:val="28"/>
                <w:szCs w:val="28"/>
              </w:rPr>
              <w:t>Koszty zarządzania projektem</w:t>
            </w:r>
          </w:p>
          <w:p w14:paraId="64D72BA4" w14:textId="4A1A140F" w:rsidR="004604C0" w:rsidRDefault="00CE3F76">
            <w:pPr>
              <w:pBdr>
                <w:top w:val="nil"/>
                <w:left w:val="nil"/>
                <w:bottom w:val="nil"/>
                <w:right w:val="nil"/>
                <w:between w:val="nil"/>
              </w:pBdr>
              <w:tabs>
                <w:tab w:val="left" w:pos="0"/>
                <w:tab w:val="left" w:pos="284"/>
              </w:tabs>
              <w:spacing w:after="0" w:line="240" w:lineRule="auto"/>
              <w:rPr>
                <w:rFonts w:ascii="Arial" w:eastAsia="Arial" w:hAnsi="Arial" w:cs="Arial"/>
                <w:color w:val="000000"/>
                <w:sz w:val="24"/>
                <w:szCs w:val="24"/>
              </w:rPr>
            </w:pPr>
            <w:r w:rsidRPr="00581491">
              <w:rPr>
                <w:rFonts w:ascii="Arial" w:eastAsia="Arial" w:hAnsi="Arial" w:cs="Arial"/>
                <w:b/>
                <w:bCs/>
                <w:sz w:val="24"/>
                <w:szCs w:val="24"/>
              </w:rPr>
              <w:t>a)</w:t>
            </w:r>
            <w:r>
              <w:rPr>
                <w:rFonts w:ascii="Arial" w:eastAsia="Arial" w:hAnsi="Arial" w:cs="Arial"/>
                <w:b/>
                <w:bCs/>
                <w:sz w:val="28"/>
                <w:szCs w:val="28"/>
              </w:rPr>
              <w:t xml:space="preserve"> </w:t>
            </w:r>
            <w:r>
              <w:rPr>
                <w:rFonts w:ascii="Arial" w:eastAsia="Arial" w:hAnsi="Arial" w:cs="Arial"/>
                <w:b/>
                <w:bCs/>
                <w:color w:val="000000"/>
                <w:sz w:val="24"/>
                <w:szCs w:val="24"/>
              </w:rPr>
              <w:t xml:space="preserve">Kierownik </w:t>
            </w:r>
            <w:r>
              <w:rPr>
                <w:rFonts w:ascii="Arial" w:eastAsia="Arial" w:hAnsi="Arial" w:cs="Arial"/>
                <w:b/>
                <w:bCs/>
                <w:sz w:val="24"/>
                <w:szCs w:val="24"/>
              </w:rPr>
              <w:t>P</w:t>
            </w:r>
            <w:r>
              <w:rPr>
                <w:rFonts w:ascii="Arial" w:eastAsia="Arial" w:hAnsi="Arial" w:cs="Arial"/>
                <w:b/>
                <w:bCs/>
                <w:color w:val="000000"/>
                <w:sz w:val="24"/>
                <w:szCs w:val="24"/>
              </w:rPr>
              <w:t>rogramu</w:t>
            </w:r>
            <w:r>
              <w:rPr>
                <w:rFonts w:ascii="Arial" w:eastAsia="Arial" w:hAnsi="Arial" w:cs="Arial"/>
                <w:sz w:val="24"/>
                <w:szCs w:val="24"/>
              </w:rPr>
              <w:t xml:space="preserve"> </w:t>
            </w:r>
            <w:r>
              <w:rPr>
                <w:rFonts w:ascii="Arial" w:eastAsia="Arial" w:hAnsi="Arial" w:cs="Arial"/>
                <w:b/>
                <w:bCs/>
                <w:sz w:val="24"/>
                <w:szCs w:val="24"/>
              </w:rPr>
              <w:t>Rzecznictwa Funduszowego</w:t>
            </w:r>
            <w:r>
              <w:rPr>
                <w:rFonts w:ascii="Arial" w:eastAsia="Arial" w:hAnsi="Arial" w:cs="Arial"/>
                <w:sz w:val="24"/>
                <w:szCs w:val="24"/>
              </w:rPr>
              <w:t xml:space="preserve">, </w:t>
            </w:r>
            <w:r>
              <w:rPr>
                <w:rFonts w:ascii="Arial" w:eastAsia="Arial" w:hAnsi="Arial" w:cs="Arial"/>
                <w:color w:val="000000"/>
                <w:sz w:val="24"/>
                <w:szCs w:val="24"/>
              </w:rPr>
              <w:t>umowa o pracę</w:t>
            </w:r>
            <w:r w:rsidR="00621A98">
              <w:rPr>
                <w:rFonts w:ascii="Arial" w:eastAsia="Arial" w:hAnsi="Arial" w:cs="Arial"/>
                <w:color w:val="000000"/>
                <w:sz w:val="24"/>
                <w:szCs w:val="24"/>
              </w:rPr>
              <w:t>;</w:t>
            </w:r>
          </w:p>
          <w:p w14:paraId="2DB228AB" w14:textId="65805319" w:rsidR="004604C0" w:rsidRDefault="00CE3F76">
            <w:pPr>
              <w:pBdr>
                <w:top w:val="nil"/>
                <w:left w:val="nil"/>
                <w:bottom w:val="nil"/>
                <w:right w:val="nil"/>
                <w:between w:val="nil"/>
              </w:pBdr>
              <w:tabs>
                <w:tab w:val="left" w:pos="0"/>
                <w:tab w:val="left" w:pos="284"/>
              </w:tabs>
              <w:spacing w:after="0" w:line="240" w:lineRule="auto"/>
              <w:rPr>
                <w:rFonts w:ascii="Arial" w:eastAsia="Arial" w:hAnsi="Arial" w:cs="Arial"/>
                <w:sz w:val="24"/>
                <w:szCs w:val="24"/>
              </w:rPr>
            </w:pPr>
            <w:r>
              <w:rPr>
                <w:rFonts w:ascii="Arial" w:eastAsia="Arial" w:hAnsi="Arial" w:cs="Arial"/>
                <w:b/>
                <w:bCs/>
                <w:sz w:val="24"/>
                <w:szCs w:val="24"/>
              </w:rPr>
              <w:t xml:space="preserve">b) </w:t>
            </w:r>
            <w:r>
              <w:rPr>
                <w:rFonts w:ascii="Arial" w:eastAsia="Arial" w:hAnsi="Arial" w:cs="Arial"/>
                <w:b/>
                <w:bCs/>
                <w:color w:val="000000"/>
                <w:sz w:val="24"/>
                <w:szCs w:val="24"/>
              </w:rPr>
              <w:t xml:space="preserve">Koszty zarządzania </w:t>
            </w:r>
            <w:r>
              <w:rPr>
                <w:rFonts w:ascii="Arial" w:eastAsia="Arial" w:hAnsi="Arial" w:cs="Arial"/>
                <w:b/>
                <w:bCs/>
                <w:sz w:val="24"/>
                <w:szCs w:val="24"/>
              </w:rPr>
              <w:t>p</w:t>
            </w:r>
            <w:r>
              <w:rPr>
                <w:rFonts w:ascii="Arial" w:eastAsia="Arial" w:hAnsi="Arial" w:cs="Arial"/>
                <w:b/>
                <w:bCs/>
                <w:color w:val="000000"/>
                <w:sz w:val="24"/>
                <w:szCs w:val="24"/>
              </w:rPr>
              <w:t>rojektem</w:t>
            </w:r>
            <w:r>
              <w:rPr>
                <w:rFonts w:ascii="Arial" w:eastAsia="Arial" w:hAnsi="Arial" w:cs="Arial"/>
                <w:sz w:val="24"/>
                <w:szCs w:val="24"/>
              </w:rPr>
              <w:t xml:space="preserve">: </w:t>
            </w:r>
            <w:r>
              <w:rPr>
                <w:rFonts w:ascii="Arial" w:eastAsia="Arial" w:hAnsi="Arial" w:cs="Arial"/>
                <w:color w:val="000000"/>
                <w:sz w:val="24"/>
                <w:szCs w:val="24"/>
              </w:rPr>
              <w:t>m.in.  biuro, media, księgowość, materiały biurowe, dodatkowa dostępność</w:t>
            </w:r>
            <w:r w:rsidR="00621A98">
              <w:rPr>
                <w:rFonts w:ascii="Arial" w:eastAsia="Arial" w:hAnsi="Arial" w:cs="Arial"/>
                <w:color w:val="000000"/>
                <w:sz w:val="24"/>
                <w:szCs w:val="24"/>
              </w:rPr>
              <w:t>;</w:t>
            </w:r>
          </w:p>
          <w:p w14:paraId="26CEE5CA" w14:textId="6FB5A2B3" w:rsidR="004604C0" w:rsidRDefault="00CE3F76">
            <w:pPr>
              <w:pBdr>
                <w:top w:val="nil"/>
                <w:left w:val="nil"/>
                <w:bottom w:val="nil"/>
                <w:right w:val="nil"/>
                <w:between w:val="nil"/>
              </w:pBdr>
              <w:tabs>
                <w:tab w:val="left" w:pos="0"/>
                <w:tab w:val="left" w:pos="284"/>
              </w:tabs>
              <w:spacing w:line="240" w:lineRule="auto"/>
              <w:rPr>
                <w:rFonts w:ascii="Arial" w:eastAsia="Arial" w:hAnsi="Arial" w:cs="Arial"/>
                <w:color w:val="000000"/>
                <w:sz w:val="24"/>
                <w:szCs w:val="24"/>
              </w:rPr>
            </w:pPr>
            <w:r>
              <w:rPr>
                <w:rFonts w:ascii="Arial" w:eastAsia="Arial" w:hAnsi="Arial" w:cs="Arial"/>
                <w:b/>
                <w:bCs/>
                <w:sz w:val="24"/>
                <w:szCs w:val="24"/>
              </w:rPr>
              <w:t>c)</w:t>
            </w:r>
            <w:r>
              <w:rPr>
                <w:rFonts w:ascii="Arial" w:eastAsia="Arial" w:hAnsi="Arial" w:cs="Arial"/>
                <w:sz w:val="24"/>
                <w:szCs w:val="24"/>
              </w:rPr>
              <w:t xml:space="preserve"> </w:t>
            </w:r>
            <w:r>
              <w:rPr>
                <w:rFonts w:ascii="Arial" w:eastAsia="Arial" w:hAnsi="Arial" w:cs="Arial"/>
                <w:b/>
                <w:bCs/>
                <w:color w:val="000000"/>
                <w:sz w:val="24"/>
                <w:szCs w:val="24"/>
              </w:rPr>
              <w:t>Audyt biegłego rewidenta</w:t>
            </w:r>
            <w:r>
              <w:rPr>
                <w:rFonts w:ascii="Arial" w:eastAsia="Arial" w:hAnsi="Arial" w:cs="Arial"/>
                <w:sz w:val="24"/>
                <w:szCs w:val="24"/>
              </w:rPr>
              <w:t>:</w:t>
            </w:r>
            <w:r>
              <w:rPr>
                <w:rFonts w:ascii="Arial" w:eastAsia="Arial" w:hAnsi="Arial" w:cs="Arial"/>
                <w:color w:val="000000"/>
                <w:sz w:val="24"/>
                <w:szCs w:val="24"/>
              </w:rPr>
              <w:t xml:space="preserve"> kontrola rachunkowo-księgowa w księgowości beneficjenta w zakresie</w:t>
            </w:r>
            <w:r>
              <w:rPr>
                <w:rFonts w:ascii="Arial" w:eastAsia="Arial" w:hAnsi="Arial" w:cs="Arial"/>
                <w:sz w:val="24"/>
                <w:szCs w:val="24"/>
              </w:rPr>
              <w:t xml:space="preserve"> </w:t>
            </w:r>
            <w:r>
              <w:rPr>
                <w:rFonts w:ascii="Arial" w:eastAsia="Arial" w:hAnsi="Arial" w:cs="Arial"/>
                <w:color w:val="000000"/>
                <w:sz w:val="24"/>
                <w:szCs w:val="24"/>
              </w:rPr>
              <w:t>poniesionych wydatków w 202</w:t>
            </w:r>
            <w:r>
              <w:rPr>
                <w:rFonts w:ascii="Arial" w:eastAsia="Arial" w:hAnsi="Arial" w:cs="Arial"/>
                <w:sz w:val="24"/>
                <w:szCs w:val="24"/>
              </w:rPr>
              <w:t xml:space="preserve">6, 2027 i 2028 r. </w:t>
            </w:r>
          </w:p>
          <w:p w14:paraId="6A523CAA" w14:textId="77777777" w:rsidR="004604C0" w:rsidRDefault="004604C0">
            <w:pPr>
              <w:spacing w:before="120" w:after="120" w:line="276" w:lineRule="auto"/>
              <w:rPr>
                <w:rFonts w:ascii="Arial" w:eastAsia="Arial" w:hAnsi="Arial" w:cs="Arial"/>
                <w:sz w:val="24"/>
                <w:szCs w:val="24"/>
              </w:rPr>
            </w:pPr>
          </w:p>
          <w:p w14:paraId="6FEE2E21" w14:textId="77777777" w:rsidR="004604C0" w:rsidRDefault="00CE3F76">
            <w:pPr>
              <w:spacing w:before="120" w:after="120" w:line="276" w:lineRule="auto"/>
              <w:rPr>
                <w:rFonts w:ascii="Arial" w:eastAsia="Arial" w:hAnsi="Arial" w:cs="Arial"/>
                <w:b/>
                <w:bCs/>
                <w:sz w:val="28"/>
                <w:szCs w:val="28"/>
              </w:rPr>
            </w:pPr>
            <w:r>
              <w:rPr>
                <w:rFonts w:ascii="Arial" w:eastAsia="Arial" w:hAnsi="Arial" w:cs="Arial"/>
                <w:b/>
                <w:bCs/>
                <w:sz w:val="28"/>
                <w:szCs w:val="28"/>
              </w:rPr>
              <w:t>Działania PFON</w:t>
            </w:r>
          </w:p>
          <w:p w14:paraId="1F6CA92B"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t>I.</w:t>
            </w:r>
            <w:r>
              <w:rPr>
                <w:rFonts w:ascii="Times New Roman" w:eastAsia="Times New Roman" w:hAnsi="Times New Roman" w:cs="Times New Roman"/>
                <w:sz w:val="14"/>
                <w:szCs w:val="14"/>
              </w:rPr>
              <w:t xml:space="preserve">   </w:t>
            </w:r>
            <w:r>
              <w:rPr>
                <w:rFonts w:ascii="Arial" w:eastAsia="Arial" w:hAnsi="Arial" w:cs="Arial"/>
                <w:b/>
                <w:bCs/>
                <w:sz w:val="28"/>
                <w:szCs w:val="28"/>
              </w:rPr>
              <w:t>Przygotowanie materiałów do upowszechniania zasad horyzontalnych w odniesieniu do osób z niepełnosprawnościami</w:t>
            </w:r>
          </w:p>
          <w:p w14:paraId="26A28FCB"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t xml:space="preserve"> </w:t>
            </w:r>
          </w:p>
          <w:p w14:paraId="457328ED" w14:textId="77777777" w:rsidR="004604C0" w:rsidRDefault="00CE3F76">
            <w:pPr>
              <w:spacing w:after="0" w:line="276" w:lineRule="auto"/>
              <w:rPr>
                <w:rFonts w:ascii="Arial" w:eastAsia="Arial" w:hAnsi="Arial" w:cs="Arial"/>
                <w:b/>
                <w:bCs/>
                <w:sz w:val="24"/>
                <w:szCs w:val="24"/>
              </w:rPr>
            </w:pPr>
            <w:r>
              <w:rPr>
                <w:rFonts w:ascii="Arial" w:eastAsia="Arial" w:hAnsi="Arial" w:cs="Arial"/>
                <w:b/>
                <w:bCs/>
                <w:sz w:val="24"/>
                <w:szCs w:val="24"/>
              </w:rPr>
              <w:t>a) Kontynuacja realizacji podcastów -  realizacja około 16 podcastów z cyklu „Osoba z unijnością",  zlecenie wykonania około 10 infografik, realizacja newsletterów przy użyciu profesjonalnego narzędzia.</w:t>
            </w:r>
          </w:p>
          <w:p w14:paraId="6DF5DF31" w14:textId="77777777" w:rsidR="004604C0" w:rsidRDefault="00CE3F76">
            <w:pPr>
              <w:spacing w:after="0" w:line="276" w:lineRule="auto"/>
              <w:ind w:left="720"/>
              <w:rPr>
                <w:rFonts w:ascii="Arial" w:eastAsia="Arial" w:hAnsi="Arial" w:cs="Arial"/>
                <w:b/>
                <w:bCs/>
                <w:sz w:val="24"/>
                <w:szCs w:val="24"/>
              </w:rPr>
            </w:pPr>
            <w:r>
              <w:rPr>
                <w:rFonts w:ascii="Arial" w:eastAsia="Arial" w:hAnsi="Arial" w:cs="Arial"/>
                <w:b/>
                <w:bCs/>
                <w:sz w:val="24"/>
                <w:szCs w:val="24"/>
              </w:rPr>
              <w:t xml:space="preserve"> </w:t>
            </w:r>
          </w:p>
          <w:p w14:paraId="0C804581" w14:textId="77777777" w:rsidR="004604C0" w:rsidRDefault="00CE3F76">
            <w:pPr>
              <w:spacing w:after="0" w:line="276" w:lineRule="auto"/>
              <w:rPr>
                <w:rFonts w:ascii="Arial" w:eastAsia="Arial" w:hAnsi="Arial" w:cs="Arial"/>
                <w:b/>
                <w:bCs/>
                <w:sz w:val="24"/>
                <w:szCs w:val="24"/>
              </w:rPr>
            </w:pPr>
            <w:r>
              <w:rPr>
                <w:rFonts w:ascii="Arial" w:eastAsia="Arial" w:hAnsi="Arial" w:cs="Arial"/>
                <w:b/>
                <w:bCs/>
                <w:sz w:val="24"/>
                <w:szCs w:val="24"/>
              </w:rPr>
              <w:t>Kontynuacja realizacji podcastów -  realizacja około 16 podcastów z cyklu „Osoba z unijnością".</w:t>
            </w:r>
          </w:p>
          <w:p w14:paraId="2FF70C27" w14:textId="77777777" w:rsidR="004604C0" w:rsidRDefault="00CE3F76">
            <w:pPr>
              <w:spacing w:after="0" w:line="276" w:lineRule="auto"/>
              <w:rPr>
                <w:rFonts w:ascii="Arial" w:eastAsia="Arial" w:hAnsi="Arial" w:cs="Arial"/>
                <w:b/>
                <w:bCs/>
                <w:sz w:val="24"/>
                <w:szCs w:val="24"/>
              </w:rPr>
            </w:pPr>
            <w:r>
              <w:rPr>
                <w:rFonts w:ascii="Arial" w:eastAsia="Arial" w:hAnsi="Arial" w:cs="Arial"/>
                <w:b/>
                <w:bCs/>
                <w:sz w:val="24"/>
                <w:szCs w:val="24"/>
              </w:rPr>
              <w:t xml:space="preserve"> </w:t>
            </w:r>
          </w:p>
          <w:p w14:paraId="339A070A"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Podcasty realizowane w obecnym projekcie stanowią bardzo dobrą formę realizacji działań informacyjnych na temat wszelkich pojęć i działań związanych ze środowiskiem osób z niepełnosprawnościami w Polsce w kontekście funduszy unijnych. Zakładamy kontynuację tych działań, ponieważ stanowią źródło wiedzy dla organizacji pozarządowych, osób z niepełnosprawnościami, a także otoczenia osób z niepełnosprawnościami. Do wywiadów zapraszane są osobistości, których wiedza i doświadczenie stanowią bardzo duży wkład w sytuację osób z niepełnosprawnościami w Polsce. Podcasty wymagają m.in.: dostępnego studia nagrań, osoby prowadzącej, montażu, transkrypcji, promocji, uwzględnienia unijnych wytycznych, publikacji np. w serwisach YouTube i Spotify.</w:t>
            </w:r>
          </w:p>
          <w:p w14:paraId="370CE06D"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040A8E9E" w14:textId="77777777" w:rsidR="004604C0" w:rsidRDefault="00CE3F76">
            <w:pPr>
              <w:spacing w:line="276" w:lineRule="auto"/>
              <w:rPr>
                <w:rFonts w:ascii="Arial" w:eastAsia="Arial" w:hAnsi="Arial" w:cs="Arial"/>
                <w:b/>
                <w:bCs/>
                <w:sz w:val="24"/>
                <w:szCs w:val="24"/>
              </w:rPr>
            </w:pPr>
            <w:r>
              <w:rPr>
                <w:rFonts w:ascii="Arial" w:eastAsia="Arial" w:hAnsi="Arial" w:cs="Arial"/>
                <w:b/>
                <w:bCs/>
                <w:sz w:val="24"/>
                <w:szCs w:val="24"/>
              </w:rPr>
              <w:t>Zlecenie wykonania około 10 infografik w projekcie jako narzędzie, które szybko i przystępnie przekłada złożone informacje (np. zasady funduszy UE, kroki aplikowania, obowiązki w realizacji i rozliczaniu) na formę zrozumiałą dla odbiorców o różnym poziomie doświadczenia.</w:t>
            </w:r>
          </w:p>
          <w:p w14:paraId="240DEEC9"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lastRenderedPageBreak/>
              <w:t>Uzasadnienie zlecenia wykonania usługi przygotowania infografik:</w:t>
            </w:r>
          </w:p>
          <w:p w14:paraId="458E4F04"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Skuteczna edukacja i upowszechnianie wiedzy: infografiki porządkują procesy „krok po kroku” (od pomysłu do zamknięcia projektu), ułatwiają zapamiętanie kluczowych zasad i zmniejszają ryzyko błędów formalnych.</w:t>
            </w:r>
          </w:p>
          <w:p w14:paraId="7F7A168E"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Dostępność i inkluzywność przekazu: treści graficzne przygotowane w standardzie dostępności (czytelny kontrast, prosta struktura, alternatywne opisy/tekst towarzyszący) zwiększają dostęp do informacji i mogą być łatwiej odbierane niż długie dokumenty.</w:t>
            </w:r>
          </w:p>
          <w:p w14:paraId="09C03814"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Wysoka „używalność” dla NGO: infografiki mogą pełnić funkcję praktycznych narzędzi do codziennej pracy (checklisty, schematy dokumentów, mapy ryzyk, harmonogramy), do wydrukowania lub wykorzystania wewnętrznie w organizacji.</w:t>
            </w:r>
          </w:p>
          <w:p w14:paraId="2E341FB9"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Lepszy zasięg i komunikacja rezultatów projektu: to format łatwy do publikacji w mediach społecznościowych, newsletterach i na stronach www, wspierający promocję działań i trwałość rezultatów po zakończeniu projektu.</w:t>
            </w:r>
          </w:p>
          <w:p w14:paraId="20B1C87C"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Spójność i standaryzacja informacji: infografiki pozwalają przekazać jednolite, zweryfikowane komunikaty wszystkim uczestnikom (np. te same definicje, wymogi, listy kontrolne), co ogranicza rozbieżności interpretacyjne. Usługa zlecona, koszt ustalony na podstawie badania rynku ujęty jako jednostkowy koszt infografiki przy założeniu realizacji zamówienia na 10 infografik.</w:t>
            </w:r>
          </w:p>
          <w:p w14:paraId="5F651370"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43A79A16" w14:textId="77777777" w:rsidR="004604C0" w:rsidRDefault="00CE3F76">
            <w:pPr>
              <w:spacing w:after="0" w:line="276" w:lineRule="auto"/>
              <w:rPr>
                <w:rFonts w:ascii="Arial" w:eastAsia="Arial" w:hAnsi="Arial" w:cs="Arial"/>
                <w:b/>
                <w:bCs/>
                <w:sz w:val="24"/>
                <w:szCs w:val="24"/>
              </w:rPr>
            </w:pPr>
            <w:r>
              <w:rPr>
                <w:rFonts w:ascii="Arial" w:eastAsia="Arial" w:hAnsi="Arial" w:cs="Arial"/>
                <w:b/>
                <w:bCs/>
                <w:sz w:val="24"/>
                <w:szCs w:val="24"/>
              </w:rPr>
              <w:t>Realizacja newsletterów przy użyciu profesjonalnego narzędzia.</w:t>
            </w:r>
          </w:p>
          <w:p w14:paraId="0FCF1523"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166A9CB6"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Cykliczna, comiesięczna wysyłka newslettera poświęconego bieżącej sytuacji dotyczącej przedmiotu projektu. Niezbędne do tego celu jest profesjonalne narzędzie umożliwiające nie tylko samą wysyłkę newsletterów, ale także analizowanie dotarcia informacji.</w:t>
            </w:r>
          </w:p>
          <w:p w14:paraId="130AA00D"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19AAD377" w14:textId="77777777" w:rsidR="004604C0" w:rsidRDefault="00CE3F76">
            <w:pPr>
              <w:spacing w:line="276" w:lineRule="auto"/>
              <w:rPr>
                <w:rFonts w:ascii="Arial" w:eastAsia="Arial" w:hAnsi="Arial" w:cs="Arial"/>
                <w:b/>
                <w:bCs/>
                <w:sz w:val="24"/>
                <w:szCs w:val="24"/>
              </w:rPr>
            </w:pPr>
            <w:r>
              <w:rPr>
                <w:rFonts w:ascii="Arial" w:eastAsia="Arial" w:hAnsi="Arial" w:cs="Arial"/>
                <w:b/>
                <w:bCs/>
                <w:sz w:val="24"/>
                <w:szCs w:val="24"/>
              </w:rPr>
              <w:t>b) Ekspert ds. komunikacji i promocji</w:t>
            </w:r>
          </w:p>
          <w:p w14:paraId="497F2D4F"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Posiada doświadczenie m.in. w planowaniu i realizacji zadań z zakresu tworzenia, komunikowania i promowania treści projektu (w tym w social mediach), a także organizowania i promowania wydarzeń (stacjonarnych i online). Odpowiedzialny również za przygotowywanie cyklu podcastów i infografik, a także za dostępność produktów projektu dla osób z różnymi rodzajami niepełnosprawności. Osoba ta będzie również odpowiadała za prowadzenie spotkań grupy FEdON (Fundusze Europejskie dla Osób z Niepełnosprawnościami) skupiającej członków Komitetów Monitorujących, którzy działają w obszarze niepełnosprawności, a także ekspertów z tego zakresu.</w:t>
            </w:r>
          </w:p>
          <w:p w14:paraId="2EFA0891"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Forma zatrudnienia: umowa o pracę, wymiar: 3/4 etatu</w:t>
            </w:r>
          </w:p>
          <w:p w14:paraId="4927667C"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 xml:space="preserve"> </w:t>
            </w:r>
          </w:p>
          <w:p w14:paraId="07938BA7"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lastRenderedPageBreak/>
              <w:t>II.</w:t>
            </w:r>
            <w:r>
              <w:rPr>
                <w:rFonts w:ascii="Times New Roman" w:eastAsia="Times New Roman" w:hAnsi="Times New Roman" w:cs="Times New Roman"/>
                <w:sz w:val="14"/>
                <w:szCs w:val="14"/>
              </w:rPr>
              <w:t xml:space="preserve">           </w:t>
            </w:r>
            <w:r>
              <w:rPr>
                <w:rFonts w:ascii="Arial" w:eastAsia="Arial" w:hAnsi="Arial" w:cs="Arial"/>
                <w:b/>
                <w:bCs/>
                <w:sz w:val="28"/>
                <w:szCs w:val="28"/>
              </w:rPr>
              <w:t>Upowszechnianie wykorzystywania środków unijnych w środowisku NGO w odniesieniu do osób z niepełnosprawnościami</w:t>
            </w:r>
          </w:p>
          <w:p w14:paraId="426128A9" w14:textId="77777777" w:rsidR="004604C0" w:rsidRDefault="00CE3F76">
            <w:pPr>
              <w:spacing w:after="0" w:line="276" w:lineRule="auto"/>
              <w:ind w:left="1080"/>
              <w:rPr>
                <w:rFonts w:ascii="Arial" w:eastAsia="Arial" w:hAnsi="Arial" w:cs="Arial"/>
                <w:b/>
                <w:bCs/>
                <w:sz w:val="24"/>
                <w:szCs w:val="24"/>
              </w:rPr>
            </w:pPr>
            <w:r>
              <w:rPr>
                <w:rFonts w:ascii="Arial" w:eastAsia="Arial" w:hAnsi="Arial" w:cs="Arial"/>
                <w:b/>
                <w:bCs/>
                <w:sz w:val="24"/>
                <w:szCs w:val="24"/>
              </w:rPr>
              <w:t xml:space="preserve"> </w:t>
            </w:r>
          </w:p>
          <w:p w14:paraId="2461AE91" w14:textId="77777777" w:rsidR="004604C0" w:rsidRDefault="00CE3F76" w:rsidP="00CE3F76">
            <w:pPr>
              <w:spacing w:line="276" w:lineRule="auto"/>
              <w:ind w:left="17"/>
              <w:rPr>
                <w:rFonts w:ascii="Arial" w:eastAsia="Arial" w:hAnsi="Arial" w:cs="Arial"/>
                <w:b/>
                <w:bCs/>
                <w:sz w:val="24"/>
                <w:szCs w:val="24"/>
              </w:rPr>
            </w:pPr>
            <w:r>
              <w:rPr>
                <w:rFonts w:ascii="Arial" w:eastAsia="Arial" w:hAnsi="Arial" w:cs="Arial"/>
                <w:b/>
                <w:bCs/>
                <w:sz w:val="24"/>
                <w:szCs w:val="24"/>
              </w:rPr>
              <w:t>a)</w:t>
            </w:r>
            <w:r>
              <w:rPr>
                <w:rFonts w:ascii="Times New Roman" w:eastAsia="Times New Roman" w:hAnsi="Times New Roman" w:cs="Times New Roman"/>
                <w:sz w:val="14"/>
                <w:szCs w:val="14"/>
              </w:rPr>
              <w:t xml:space="preserve">    </w:t>
            </w:r>
            <w:r>
              <w:rPr>
                <w:rFonts w:ascii="Arial" w:eastAsia="Arial" w:hAnsi="Arial" w:cs="Arial"/>
                <w:b/>
                <w:bCs/>
                <w:sz w:val="24"/>
                <w:szCs w:val="24"/>
              </w:rPr>
              <w:t>organizacja 2 Kongresów Osób z Niepełnosprawnościami</w:t>
            </w:r>
          </w:p>
          <w:p w14:paraId="5272BBFA"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Kongresy to regularne, wielkoskalowe wydarzenia organizowane w Polsce, których celem jest zgromadzenie osób z różnymi rodzajami niepełnosprawności (fizyczną, intelektualną, sensoryczną, psychiczną), ich rodzin, przedstawicieli organizacji pozarządowych (OPZ), ekspertów, urzędników państwowych, decydentów politycznych oraz specjalistów z dziedziny rehabilitacji, edukacji, prawa i wsparcia społecznego.</w:t>
            </w:r>
          </w:p>
          <w:p w14:paraId="16A254B8"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Kongresy stanowią platformę dialogu, rzecznictwa i wymiany doświadczeń, a także okazję do promowania praw osób z niepełnosprawnościami, w tym ich pełnego udziału w życiu społecznym, gospodarczym, kulturalnym i politycznym, zgodnie z zasadami Konwencji ONZ o prawach osób z niepełnosprawnościami (CRPD).</w:t>
            </w:r>
          </w:p>
          <w:p w14:paraId="6C98C3B9" w14:textId="433598BC" w:rsidR="004604C0" w:rsidRDefault="00CE3F76">
            <w:pPr>
              <w:spacing w:line="276" w:lineRule="auto"/>
              <w:rPr>
                <w:rFonts w:ascii="Arial" w:eastAsia="Arial" w:hAnsi="Arial" w:cs="Arial"/>
                <w:sz w:val="24"/>
                <w:szCs w:val="24"/>
              </w:rPr>
            </w:pPr>
            <w:r>
              <w:rPr>
                <w:rFonts w:ascii="Arial" w:eastAsia="Arial" w:hAnsi="Arial" w:cs="Arial"/>
                <w:sz w:val="24"/>
                <w:szCs w:val="24"/>
              </w:rPr>
              <w:t>Kongres jest wydarzeniem cyklicznym - realizowanym każdego roku w okolicach października-listopada. Zatem w ramach projektu zostaną zorganizowane 2 kongresy. Za  realizację od 2019 roku odpowiada Polskie Forum Osób z Niepełnosprawnościami. Kongres jest wydarzeniem w pełni dostępnym: sala zapewnia dostęp dla osób z niepełnosprawnościami pod względem architektonicznym, zapewnione są też tłumaczenie na polski język migowy, tłumaczenie na język angielski; forma uczestnictwa jest hybrydowa – Kongres jest emitowany na żywo w kanałach społecznościowych PFON, zapewnione są pętla indukcyjna, napisy na żywo, komfortka, wsparcie wolontariuszy i asystentów. Wydarzenie to w każdym roku skupia około 200 osób stacjonarnie i minimum drugie tyle osób online. Koszty związane z tym wydarzeniem to przede wszystkim kwestie dostępnościowe, technikalia – nagłośnienie, scena, ekrany, światła, kamery, a także catering, który jest zapewniany wszystkim uczestnikom podczas wydarzenia</w:t>
            </w:r>
            <w:r w:rsidR="00621A98">
              <w:rPr>
                <w:rFonts w:ascii="Arial" w:eastAsia="Arial" w:hAnsi="Arial" w:cs="Arial"/>
                <w:sz w:val="24"/>
                <w:szCs w:val="24"/>
              </w:rPr>
              <w:t xml:space="preserve"> stacjonarnego</w:t>
            </w:r>
            <w:r>
              <w:rPr>
                <w:rFonts w:ascii="Arial" w:eastAsia="Arial" w:hAnsi="Arial" w:cs="Arial"/>
                <w:sz w:val="24"/>
                <w:szCs w:val="24"/>
              </w:rPr>
              <w:t>.</w:t>
            </w:r>
          </w:p>
          <w:p w14:paraId="3B9988D8"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Na organizację 2 kongresów składają się m.in:</w:t>
            </w:r>
          </w:p>
          <w:p w14:paraId="0C238B08" w14:textId="7A312A80" w:rsidR="004604C0" w:rsidRDefault="00CE3F76">
            <w:pPr>
              <w:spacing w:line="276" w:lineRule="auto"/>
              <w:rPr>
                <w:rFonts w:ascii="Arial" w:eastAsia="Arial" w:hAnsi="Arial" w:cs="Arial"/>
                <w:sz w:val="24"/>
                <w:szCs w:val="24"/>
              </w:rPr>
            </w:pPr>
            <w:r>
              <w:rPr>
                <w:rFonts w:ascii="Arial" w:eastAsia="Arial" w:hAnsi="Arial" w:cs="Arial"/>
                <w:sz w:val="24"/>
                <w:szCs w:val="24"/>
              </w:rPr>
              <w:t>1. obsługa techniczna wydarzenia (np. nagłośnienie, oświetlenie, scena, ekran stacjonarny, mikrofony, kamery, streaming online, obsługa techniczna wydarzenia stacjonarnego i online, rejestrowanie wydarzenia, łączenie techniczne wszystkich elementów dostępnego wydarzenia, tj. jednoczesne wyświetlanie napisów, zaangażowanie tłumaczy Polskiego Języka Migowego, tłumaczy językowych)</w:t>
            </w:r>
            <w:r w:rsidR="00621A98">
              <w:rPr>
                <w:rFonts w:ascii="Arial" w:eastAsia="Arial" w:hAnsi="Arial" w:cs="Arial"/>
                <w:sz w:val="24"/>
                <w:szCs w:val="24"/>
              </w:rPr>
              <w:t>,</w:t>
            </w:r>
          </w:p>
          <w:p w14:paraId="4A996D19" w14:textId="4B387845" w:rsidR="004604C0" w:rsidRDefault="00CE3F76">
            <w:pPr>
              <w:spacing w:line="276" w:lineRule="auto"/>
              <w:rPr>
                <w:rFonts w:ascii="Arial" w:eastAsia="Arial" w:hAnsi="Arial" w:cs="Arial"/>
                <w:sz w:val="24"/>
                <w:szCs w:val="24"/>
              </w:rPr>
            </w:pPr>
            <w:r>
              <w:rPr>
                <w:rFonts w:ascii="Arial" w:eastAsia="Arial" w:hAnsi="Arial" w:cs="Arial"/>
                <w:sz w:val="24"/>
                <w:szCs w:val="24"/>
              </w:rPr>
              <w:t>2. catering podczas wydarzenia - przerwa kawowa ciągła i obiad podczas wydarzenia</w:t>
            </w:r>
            <w:r w:rsidR="00621A98">
              <w:rPr>
                <w:rFonts w:ascii="Arial" w:eastAsia="Arial" w:hAnsi="Arial" w:cs="Arial"/>
                <w:sz w:val="24"/>
                <w:szCs w:val="24"/>
              </w:rPr>
              <w:t>,</w:t>
            </w:r>
          </w:p>
          <w:p w14:paraId="7AFB44F3" w14:textId="506ACE00" w:rsidR="004604C0" w:rsidRDefault="00CE3F76">
            <w:pPr>
              <w:spacing w:line="276" w:lineRule="auto"/>
              <w:rPr>
                <w:rFonts w:ascii="Arial" w:eastAsia="Arial" w:hAnsi="Arial" w:cs="Arial"/>
                <w:sz w:val="24"/>
                <w:szCs w:val="24"/>
              </w:rPr>
            </w:pPr>
            <w:r>
              <w:rPr>
                <w:rFonts w:ascii="Arial" w:eastAsia="Arial" w:hAnsi="Arial" w:cs="Arial"/>
                <w:sz w:val="24"/>
                <w:szCs w:val="24"/>
              </w:rPr>
              <w:t>3. tłumacz Polskiego Języka Migowego podczas wydarzenia</w:t>
            </w:r>
            <w:r w:rsidR="00621A98">
              <w:rPr>
                <w:rFonts w:ascii="Arial" w:eastAsia="Arial" w:hAnsi="Arial" w:cs="Arial"/>
                <w:sz w:val="24"/>
                <w:szCs w:val="24"/>
              </w:rPr>
              <w:t>,</w:t>
            </w:r>
          </w:p>
          <w:p w14:paraId="14911B8F" w14:textId="2C6DB529" w:rsidR="004604C0" w:rsidRDefault="00CE3F76">
            <w:pPr>
              <w:spacing w:line="276" w:lineRule="auto"/>
              <w:rPr>
                <w:rFonts w:ascii="Arial" w:eastAsia="Arial" w:hAnsi="Arial" w:cs="Arial"/>
                <w:sz w:val="24"/>
                <w:szCs w:val="24"/>
              </w:rPr>
            </w:pPr>
            <w:r>
              <w:rPr>
                <w:rFonts w:ascii="Arial" w:eastAsia="Arial" w:hAnsi="Arial" w:cs="Arial"/>
                <w:sz w:val="24"/>
                <w:szCs w:val="24"/>
              </w:rPr>
              <w:t>4. napisy podczas wydarzenia i pętla indukcyjna</w:t>
            </w:r>
            <w:r w:rsidR="00621A98">
              <w:rPr>
                <w:rFonts w:ascii="Arial" w:eastAsia="Arial" w:hAnsi="Arial" w:cs="Arial"/>
                <w:sz w:val="24"/>
                <w:szCs w:val="24"/>
              </w:rPr>
              <w:t>,</w:t>
            </w:r>
          </w:p>
          <w:p w14:paraId="1DDB0B67" w14:textId="5210E132" w:rsidR="004604C0" w:rsidRDefault="00CE3F76">
            <w:pPr>
              <w:spacing w:line="276" w:lineRule="auto"/>
              <w:rPr>
                <w:rFonts w:ascii="Arial" w:eastAsia="Arial" w:hAnsi="Arial" w:cs="Arial"/>
                <w:sz w:val="24"/>
                <w:szCs w:val="24"/>
              </w:rPr>
            </w:pPr>
            <w:r>
              <w:rPr>
                <w:rFonts w:ascii="Arial" w:eastAsia="Arial" w:hAnsi="Arial" w:cs="Arial"/>
                <w:sz w:val="24"/>
                <w:szCs w:val="24"/>
              </w:rPr>
              <w:t>5. wynajem komfortki i podnośnika</w:t>
            </w:r>
            <w:r w:rsidR="00621A98">
              <w:rPr>
                <w:rFonts w:ascii="Arial" w:eastAsia="Arial" w:hAnsi="Arial" w:cs="Arial"/>
                <w:sz w:val="24"/>
                <w:szCs w:val="24"/>
              </w:rPr>
              <w:t>.</w:t>
            </w:r>
          </w:p>
          <w:p w14:paraId="775128B6" w14:textId="4FB8CE48" w:rsidR="004604C0" w:rsidRDefault="00CE3F76">
            <w:pPr>
              <w:spacing w:line="276" w:lineRule="auto"/>
              <w:rPr>
                <w:rFonts w:ascii="Arial" w:eastAsia="Arial" w:hAnsi="Arial" w:cs="Arial"/>
                <w:sz w:val="24"/>
                <w:szCs w:val="24"/>
              </w:rPr>
            </w:pPr>
            <w:r>
              <w:rPr>
                <w:rFonts w:ascii="Arial" w:eastAsia="Arial" w:hAnsi="Arial" w:cs="Arial"/>
                <w:sz w:val="24"/>
                <w:szCs w:val="24"/>
              </w:rPr>
              <w:lastRenderedPageBreak/>
              <w:t>Pozostałe koszty wydarzenia zapewni PFON, np. dostępną przestrzeń na wydarzenie, ewentualne tłumaczenie na inne języki</w:t>
            </w:r>
            <w:r w:rsidR="00581491">
              <w:rPr>
                <w:rFonts w:ascii="Arial" w:eastAsia="Arial" w:hAnsi="Arial" w:cs="Arial"/>
                <w:sz w:val="24"/>
                <w:szCs w:val="24"/>
              </w:rPr>
              <w:t>.</w:t>
            </w:r>
          </w:p>
          <w:p w14:paraId="7F93B417" w14:textId="77777777" w:rsidR="004604C0" w:rsidRDefault="00CE3F76" w:rsidP="00581491">
            <w:pPr>
              <w:spacing w:line="276" w:lineRule="auto"/>
              <w:ind w:firstLine="17"/>
              <w:rPr>
                <w:rFonts w:ascii="Arial" w:eastAsia="Arial" w:hAnsi="Arial" w:cs="Arial"/>
                <w:b/>
                <w:bCs/>
                <w:sz w:val="24"/>
                <w:szCs w:val="24"/>
              </w:rPr>
            </w:pPr>
            <w:r>
              <w:rPr>
                <w:rFonts w:ascii="Arial" w:eastAsia="Arial" w:hAnsi="Arial" w:cs="Arial"/>
                <w:b/>
                <w:bCs/>
                <w:sz w:val="24"/>
                <w:szCs w:val="24"/>
              </w:rPr>
              <w:t>b)</w:t>
            </w:r>
            <w:r>
              <w:rPr>
                <w:rFonts w:ascii="Times New Roman" w:eastAsia="Times New Roman" w:hAnsi="Times New Roman" w:cs="Times New Roman"/>
                <w:sz w:val="14"/>
                <w:szCs w:val="14"/>
              </w:rPr>
              <w:t xml:space="preserve">   </w:t>
            </w:r>
            <w:r>
              <w:rPr>
                <w:rFonts w:ascii="Arial" w:eastAsia="Arial" w:hAnsi="Arial" w:cs="Arial"/>
                <w:b/>
                <w:bCs/>
                <w:sz w:val="24"/>
                <w:szCs w:val="24"/>
              </w:rPr>
              <w:t>Organizacja konferencji im. Anny Drabarz, dotyczącej Funduszy Europejskich w obecnej perspektywie finansowej – we współpracy ze Szkołą Główną Handlową</w:t>
            </w:r>
          </w:p>
          <w:p w14:paraId="6070DECC"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Konferencja to wydarzenie informacyjno</w:t>
            </w:r>
            <w:r>
              <w:rPr>
                <w:rFonts w:ascii="Cambria Math" w:eastAsia="Cambria Math" w:hAnsi="Cambria Math" w:cs="Cambria Math"/>
                <w:sz w:val="24"/>
                <w:szCs w:val="24"/>
              </w:rPr>
              <w:t>‑</w:t>
            </w:r>
            <w:r>
              <w:rPr>
                <w:rFonts w:ascii="Arial" w:eastAsia="Arial" w:hAnsi="Arial" w:cs="Arial"/>
                <w:sz w:val="24"/>
                <w:szCs w:val="24"/>
              </w:rPr>
              <w:t>eksperckie poświęcone możliwościom finansowania działań organizacji pozarządowych ze środków Unii Europejskiej w aktualnej perspektywie 2021–2027 (z uwzględnieniem powiązań z instrumentami uzupełniającymi, np. KPO, MRU – w zakresie istotnym dla NGO). Wydarzenie łączy część merytoryczną (możliwości realizacji programów zgodnie z zasadami horyzontalnymi, dostępne środki, itd.) z częścią praktyczną (pojawiające się trudności, wyzwania, które są przedstawiane w środowisku eksperckim i dyskutowane/omawiane celem wypracowania najlepszych rozwiązań i dobrych praktyk).</w:t>
            </w:r>
          </w:p>
          <w:p w14:paraId="65202F78"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Konferencja jest realizowana we współpracy ze Szkołą Główną Handlową, która zapewnia wsparcie merytoryczne i eksperckie (udział prelegentów, komentarz analityczny do trendów finansowania, standardów zarządzania projektami i oceny efektywności interwencji publicznych), wzmacniając jakość programu oraz wiarygodność przekazywanych informacji.</w:t>
            </w:r>
          </w:p>
          <w:p w14:paraId="1EC9F5FF"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Budżet zakłada np. obsługę techniczną, rejestrowanie wydarzenia, łączenie techniczne wszystkich elementów wydarzenia, catering, tłumaczenie Polskiego Języka Migowego, napisy podczas wydarzenia i pętla indukcyjna, wynajem komfortki i podnośnika.</w:t>
            </w:r>
          </w:p>
          <w:p w14:paraId="44EF0497"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 xml:space="preserve"> </w:t>
            </w:r>
          </w:p>
          <w:p w14:paraId="208FDD3D" w14:textId="77777777" w:rsidR="004604C0" w:rsidRDefault="00CE3F76" w:rsidP="00581491">
            <w:pPr>
              <w:spacing w:line="276" w:lineRule="auto"/>
              <w:rPr>
                <w:rFonts w:ascii="Arial" w:eastAsia="Arial" w:hAnsi="Arial" w:cs="Arial"/>
                <w:b/>
                <w:bCs/>
                <w:sz w:val="24"/>
                <w:szCs w:val="24"/>
              </w:rPr>
            </w:pPr>
            <w:r>
              <w:rPr>
                <w:rFonts w:ascii="Arial" w:eastAsia="Arial" w:hAnsi="Arial" w:cs="Arial"/>
                <w:b/>
                <w:bCs/>
                <w:sz w:val="24"/>
                <w:szCs w:val="24"/>
              </w:rPr>
              <w:t>c)</w:t>
            </w:r>
            <w:r>
              <w:rPr>
                <w:rFonts w:ascii="Times New Roman" w:eastAsia="Times New Roman" w:hAnsi="Times New Roman" w:cs="Times New Roman"/>
                <w:sz w:val="14"/>
                <w:szCs w:val="14"/>
              </w:rPr>
              <w:t xml:space="preserve">    </w:t>
            </w:r>
            <w:r>
              <w:rPr>
                <w:rFonts w:ascii="Arial" w:eastAsia="Arial" w:hAnsi="Arial" w:cs="Arial"/>
                <w:b/>
                <w:bCs/>
                <w:sz w:val="24"/>
                <w:szCs w:val="24"/>
              </w:rPr>
              <w:t xml:space="preserve">realizacja około 8 webinarów edukacyjno-praktycznych, skierowanych do organizacji pozarządowych oraz  około  5 seminariów w różnych miejscach w Polsce, podczas których będą poruszane bieżące tematy związane ze wsparciem osób z niepełnosprawnościami z Funduszy Unijnych; pokrycie kosztów dojazdów i noclegów  </w:t>
            </w:r>
          </w:p>
          <w:p w14:paraId="4A273278" w14:textId="77777777" w:rsidR="004604C0" w:rsidRDefault="00CE3F76">
            <w:pPr>
              <w:spacing w:line="276" w:lineRule="auto"/>
              <w:rPr>
                <w:rFonts w:ascii="Arial" w:eastAsia="Arial" w:hAnsi="Arial" w:cs="Arial"/>
                <w:b/>
                <w:bCs/>
                <w:sz w:val="24"/>
                <w:szCs w:val="24"/>
              </w:rPr>
            </w:pPr>
            <w:r>
              <w:rPr>
                <w:rFonts w:ascii="Arial" w:eastAsia="Arial" w:hAnsi="Arial" w:cs="Arial"/>
                <w:b/>
                <w:bCs/>
                <w:sz w:val="24"/>
                <w:szCs w:val="24"/>
              </w:rPr>
              <w:t>Webinary</w:t>
            </w:r>
          </w:p>
          <w:p w14:paraId="5CC8001B"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Celem webinarów, skierowanych do organizacji pozarządowych (zarządy, koordynatorzy projektów, księgowość, osoby przygotowujące wnioski), jest zwiększenie kompetencji NGO w zakresie pozyskiwania i bezpiecznej realizacji projektów finansowanych ze środków Unii Europejskiej – od wyboru programu i przygotowania wniosku po rozliczanie, kontrolę i zamknięcie projektu. Poruszane będą, w zależności od zbadanych potrzeb, tematy dotyczące zasad horyzontalnych Unii Europejskiej oraz Konwencji o prawach osób niepełnosprawnych (KPON), które obecnie nie są wiedzą powszechną pośród organizacji pozarządowych w Polsce.</w:t>
            </w:r>
          </w:p>
          <w:p w14:paraId="7FB8F5D4"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Budżet zakłada m.in zaangażowanie prowadzącego webinar, tłumaczenie przez tłumacza Polskiego Języka Migowego, zrobienie napisów do nagrania, koszt licencji Zoom.</w:t>
            </w:r>
          </w:p>
          <w:p w14:paraId="75BBC70A" w14:textId="77777777" w:rsidR="004604C0" w:rsidRDefault="00CE3F76">
            <w:pPr>
              <w:spacing w:line="276" w:lineRule="auto"/>
              <w:rPr>
                <w:rFonts w:ascii="Arial" w:eastAsia="Arial" w:hAnsi="Arial" w:cs="Arial"/>
                <w:b/>
                <w:bCs/>
                <w:sz w:val="24"/>
                <w:szCs w:val="24"/>
              </w:rPr>
            </w:pPr>
            <w:r>
              <w:rPr>
                <w:rFonts w:ascii="Arial" w:eastAsia="Arial" w:hAnsi="Arial" w:cs="Arial"/>
                <w:b/>
                <w:bCs/>
                <w:sz w:val="24"/>
                <w:szCs w:val="24"/>
              </w:rPr>
              <w:t>Seminaria</w:t>
            </w:r>
          </w:p>
          <w:p w14:paraId="3FCFC2BE"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lastRenderedPageBreak/>
              <w:t>Realizacja około  5 seminariów w różnych miejscach w Polsce, podczas których będą poruszane bieżące tematy związane ze wsparciem osób z niepełnosprawnościami z Funduszy Unijnych. Zauważalny jest ciągły brak wiedzy w Polsce w zakresie praktycznego zastosowania takich pojęć, jak deinstytucjonalizacja, mieszkalnictwo wspomagane, zatrudnienie wspomagane i inne związane ze wsparciem osób z niepełnosprawnościami w duchu KPON, realizowanym dzięki Funduszom Europejskim. Bezpośrednie spotkanie daje możliwość rozmowy ze środowiskiem w danym regionie, przybliża ich problemy i daje możliwość ich rozwiązania na bieżąco, albo ukierunkowania podejmowanych działań.</w:t>
            </w:r>
          </w:p>
          <w:p w14:paraId="206ED375"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Budżet obejmuje np. salę na seminarium, obsługę techniczną, catering, zaangażowanie tłumacza Polskiego Języka Migowego podczas wydarzenia, zaangażowanie prelegentów.</w:t>
            </w:r>
          </w:p>
          <w:p w14:paraId="56B30093" w14:textId="77777777" w:rsidR="004604C0" w:rsidRDefault="00CE3F76">
            <w:pPr>
              <w:spacing w:line="276" w:lineRule="auto"/>
              <w:rPr>
                <w:rFonts w:ascii="Arial" w:eastAsia="Arial" w:hAnsi="Arial" w:cs="Arial"/>
                <w:b/>
                <w:bCs/>
                <w:sz w:val="24"/>
                <w:szCs w:val="24"/>
              </w:rPr>
            </w:pPr>
            <w:r>
              <w:rPr>
                <w:rFonts w:ascii="Arial" w:eastAsia="Arial" w:hAnsi="Arial" w:cs="Arial"/>
                <w:b/>
                <w:bCs/>
                <w:sz w:val="24"/>
                <w:szCs w:val="24"/>
              </w:rPr>
              <w:t>Pokrycie kosztów dojazdów i noclegów.</w:t>
            </w:r>
          </w:p>
          <w:p w14:paraId="2C29F5C6"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Jest to wydatek niezbędny podczas realizacji seminariów w Polsce. Rozpoczynanie seminarium w godzinach porannych, tj. około 9:00 - 10:00 nie pozwala na przybycie na miejsce tego samego dnia, stąd konieczność uwzględnienia kosztów dojazdów i noclegów dzień przed wydarzeniem.</w:t>
            </w:r>
          </w:p>
          <w:p w14:paraId="60C675C2"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 xml:space="preserve"> </w:t>
            </w:r>
          </w:p>
          <w:p w14:paraId="38A08299"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t>III.</w:t>
            </w:r>
            <w:r>
              <w:rPr>
                <w:rFonts w:ascii="Times New Roman" w:eastAsia="Times New Roman" w:hAnsi="Times New Roman" w:cs="Times New Roman"/>
                <w:sz w:val="14"/>
                <w:szCs w:val="14"/>
              </w:rPr>
              <w:t xml:space="preserve">  </w:t>
            </w:r>
            <w:r>
              <w:rPr>
                <w:rFonts w:ascii="Arial" w:eastAsia="Arial" w:hAnsi="Arial" w:cs="Arial"/>
                <w:b/>
                <w:bCs/>
                <w:sz w:val="28"/>
                <w:szCs w:val="28"/>
              </w:rPr>
              <w:t>Indywidualne wspieranie konkretnych NGO w bieżących działaniach związanych z ubieganiem się o środki UE, realizacją projektów z UE, rozliczaniem projektów z UE, kontrolą projektów UE</w:t>
            </w:r>
          </w:p>
          <w:p w14:paraId="00BEE960"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t xml:space="preserve"> </w:t>
            </w:r>
          </w:p>
          <w:p w14:paraId="370BA76C" w14:textId="77777777" w:rsidR="004604C0" w:rsidRDefault="00CE3F76" w:rsidP="00CE3F76">
            <w:pPr>
              <w:spacing w:after="0" w:line="276" w:lineRule="auto"/>
              <w:ind w:left="17"/>
              <w:rPr>
                <w:rFonts w:ascii="Arial" w:eastAsia="Arial" w:hAnsi="Arial" w:cs="Arial"/>
                <w:b/>
                <w:bCs/>
                <w:sz w:val="24"/>
                <w:szCs w:val="24"/>
              </w:rPr>
            </w:pPr>
            <w:r>
              <w:rPr>
                <w:rFonts w:ascii="Arial" w:eastAsia="Arial" w:hAnsi="Arial" w:cs="Arial"/>
                <w:b/>
                <w:bCs/>
                <w:sz w:val="24"/>
                <w:szCs w:val="24"/>
              </w:rPr>
              <w:t>a)</w:t>
            </w:r>
            <w:r>
              <w:rPr>
                <w:rFonts w:ascii="Times New Roman" w:eastAsia="Times New Roman" w:hAnsi="Times New Roman" w:cs="Times New Roman"/>
                <w:sz w:val="14"/>
                <w:szCs w:val="14"/>
              </w:rPr>
              <w:t xml:space="preserve">    </w:t>
            </w:r>
            <w:r>
              <w:rPr>
                <w:rFonts w:ascii="Arial" w:eastAsia="Arial" w:hAnsi="Arial" w:cs="Arial"/>
                <w:b/>
                <w:bCs/>
                <w:sz w:val="24"/>
                <w:szCs w:val="24"/>
              </w:rPr>
              <w:t>Ekspert ds. bieżącej sytuacji w zakresie praw osób z niepełnosprawnościami</w:t>
            </w:r>
          </w:p>
          <w:p w14:paraId="55229FC5" w14:textId="77777777" w:rsidR="004604C0" w:rsidRDefault="00CE3F76">
            <w:pPr>
              <w:spacing w:line="276" w:lineRule="auto"/>
              <w:ind w:left="720"/>
              <w:rPr>
                <w:rFonts w:ascii="Arial" w:eastAsia="Arial" w:hAnsi="Arial" w:cs="Arial"/>
                <w:sz w:val="24"/>
                <w:szCs w:val="24"/>
              </w:rPr>
            </w:pPr>
            <w:r>
              <w:rPr>
                <w:rFonts w:ascii="Arial" w:eastAsia="Arial" w:hAnsi="Arial" w:cs="Arial"/>
                <w:sz w:val="24"/>
                <w:szCs w:val="24"/>
              </w:rPr>
              <w:t xml:space="preserve"> </w:t>
            </w:r>
          </w:p>
          <w:p w14:paraId="2C581D16"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Specjalista z głęboką wiedzą na temat praw człowieka, polityk społecznych i przepisów dotyczących osób z niepełnosprawnościami w Polsce i na Unii Europejskiej. W obecnej perspektywie śledzi i analizuje:</w:t>
            </w:r>
          </w:p>
          <w:p w14:paraId="4B60AAA3" w14:textId="77777777" w:rsidR="004604C0" w:rsidRDefault="00CE3F76">
            <w:pPr>
              <w:spacing w:after="0" w:line="276" w:lineRule="auto"/>
              <w:ind w:left="1080" w:hanging="360"/>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realizację Konwencji ONZ o prawach osób z niepełnosprawnościami (CRPD) oraz rekomendacje Komitetu ONZ,</w:t>
            </w:r>
          </w:p>
          <w:p w14:paraId="567EFA4B" w14:textId="77777777" w:rsidR="004604C0" w:rsidRDefault="00CE3F76">
            <w:pPr>
              <w:spacing w:after="0" w:line="276" w:lineRule="auto"/>
              <w:ind w:left="1080" w:hanging="360"/>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ustępstwa i zmiany w ustawodawstwie (np. Ustawa o ochronie praw osób z niepełnosprawnościami, Kodeks pracy, Kodeks rodzinny),</w:t>
            </w:r>
          </w:p>
          <w:p w14:paraId="6054E93C" w14:textId="77777777" w:rsidR="004604C0" w:rsidRDefault="00CE3F76">
            <w:pPr>
              <w:spacing w:after="0" w:line="276" w:lineRule="auto"/>
              <w:ind w:left="1080" w:hanging="360"/>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politykę rządu w zakresie inkluzji, dostępności, edukacji, zatrudnienia i zdrowia,</w:t>
            </w:r>
          </w:p>
          <w:p w14:paraId="34848268" w14:textId="77777777" w:rsidR="004604C0" w:rsidRDefault="00CE3F76">
            <w:pPr>
              <w:spacing w:after="0" w:line="276" w:lineRule="auto"/>
              <w:ind w:left="1080" w:hanging="360"/>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inicjatywy UE (np. Strategia UE na rzecz praw osób z niepełnosprawnościami 2021–2030),</w:t>
            </w:r>
          </w:p>
          <w:p w14:paraId="5A8BA0ED" w14:textId="77777777" w:rsidR="004604C0" w:rsidRDefault="00CE3F76">
            <w:pPr>
              <w:spacing w:line="276" w:lineRule="auto"/>
              <w:ind w:left="1080" w:hanging="360"/>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Arial" w:eastAsia="Arial" w:hAnsi="Arial" w:cs="Arial"/>
                <w:sz w:val="24"/>
                <w:szCs w:val="24"/>
              </w:rPr>
              <w:t>raporty Rzecznika Praw Obywatelskich, NIK, KRS, OPN i innych instytucji.</w:t>
            </w:r>
          </w:p>
          <w:p w14:paraId="39A99970" w14:textId="77777777" w:rsidR="004604C0" w:rsidRDefault="00CE3F76">
            <w:pPr>
              <w:spacing w:line="276" w:lineRule="auto"/>
              <w:rPr>
                <w:rFonts w:ascii="Arial" w:eastAsia="Arial" w:hAnsi="Arial" w:cs="Arial"/>
                <w:sz w:val="24"/>
                <w:szCs w:val="24"/>
              </w:rPr>
            </w:pPr>
            <w:r>
              <w:rPr>
                <w:rFonts w:ascii="Arial" w:eastAsia="Arial" w:hAnsi="Arial" w:cs="Arial"/>
                <w:sz w:val="24"/>
                <w:szCs w:val="24"/>
              </w:rPr>
              <w:t>Forma zatrudnienia: umowa o pracę, wymiar: 3/4 etatu</w:t>
            </w:r>
          </w:p>
          <w:p w14:paraId="3A702266" w14:textId="77777777" w:rsidR="004604C0" w:rsidRDefault="00CE3F76">
            <w:pPr>
              <w:spacing w:line="276" w:lineRule="auto"/>
              <w:rPr>
                <w:rFonts w:ascii="Arial" w:eastAsia="Arial" w:hAnsi="Arial" w:cs="Arial"/>
                <w:b/>
                <w:bCs/>
                <w:sz w:val="24"/>
                <w:szCs w:val="24"/>
              </w:rPr>
            </w:pPr>
            <w:r>
              <w:rPr>
                <w:rFonts w:ascii="Arial" w:eastAsia="Arial" w:hAnsi="Arial" w:cs="Arial"/>
                <w:sz w:val="24"/>
                <w:szCs w:val="24"/>
              </w:rPr>
              <w:lastRenderedPageBreak/>
              <w:t xml:space="preserve"> </w:t>
            </w:r>
            <w:r>
              <w:rPr>
                <w:rFonts w:ascii="Arial" w:eastAsia="Arial" w:hAnsi="Arial" w:cs="Arial"/>
                <w:b/>
                <w:bCs/>
                <w:sz w:val="24"/>
                <w:szCs w:val="24"/>
              </w:rPr>
              <w:t>b)</w:t>
            </w:r>
            <w:r>
              <w:rPr>
                <w:rFonts w:ascii="Times New Roman" w:eastAsia="Times New Roman" w:hAnsi="Times New Roman" w:cs="Times New Roman"/>
                <w:sz w:val="14"/>
                <w:szCs w:val="14"/>
              </w:rPr>
              <w:t xml:space="preserve">   </w:t>
            </w:r>
            <w:r>
              <w:rPr>
                <w:rFonts w:ascii="Arial" w:eastAsia="Arial" w:hAnsi="Arial" w:cs="Arial"/>
                <w:b/>
                <w:bCs/>
                <w:sz w:val="24"/>
                <w:szCs w:val="24"/>
              </w:rPr>
              <w:t>usługi doradcze świadczone przez eksperta/kę ds. programów Unii Europejskiej  - realizacja około 20 godzin wsparcia na organizację, dla około 20 organizacji w całej Polsce. Łącznie około 400 godzin.</w:t>
            </w:r>
          </w:p>
          <w:p w14:paraId="7AE46C2E"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28172BB4"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Prowadzenie organizacji pozarządowych przez cały cykl życia projektu współfinansowanego z UE: od wyboru właściwego programu i konkursu, przez przygotowanie wniosku i budżetu, po wdrożenie, monitorowanie wskaźników, przygotowanie wniosków o płatność, obsługę kontroli/audytu, aż do prawidłowego zamknięcia projektu.</w:t>
            </w:r>
          </w:p>
          <w:p w14:paraId="1BF47022" w14:textId="7FCE7C9D" w:rsidR="004604C0" w:rsidRDefault="00CE3F76">
            <w:pPr>
              <w:spacing w:after="0" w:line="276" w:lineRule="auto"/>
              <w:rPr>
                <w:rFonts w:ascii="Arial" w:eastAsia="Arial" w:hAnsi="Arial" w:cs="Arial"/>
                <w:sz w:val="24"/>
                <w:szCs w:val="24"/>
              </w:rPr>
            </w:pPr>
            <w:r>
              <w:rPr>
                <w:rFonts w:ascii="Arial" w:eastAsia="Arial" w:hAnsi="Arial" w:cs="Arial"/>
                <w:sz w:val="24"/>
                <w:szCs w:val="24"/>
              </w:rPr>
              <w:t>Ekspert odpowiedzialny za doradztwo łączy kompetencje merytoryczne, finansowe i formalno-prawne: zna zasady kwalifikowalności, dokumentowanie wydatków, wymagania dot. konkurencyjności/</w:t>
            </w:r>
            <w:r w:rsidR="00581491">
              <w:rPr>
                <w:rFonts w:ascii="Arial" w:eastAsia="Arial" w:hAnsi="Arial" w:cs="Arial"/>
                <w:sz w:val="24"/>
                <w:szCs w:val="24"/>
              </w:rPr>
              <w:t xml:space="preserve"> </w:t>
            </w:r>
            <w:r>
              <w:rPr>
                <w:rFonts w:ascii="Arial" w:eastAsia="Arial" w:hAnsi="Arial" w:cs="Arial"/>
                <w:sz w:val="24"/>
                <w:szCs w:val="24"/>
              </w:rPr>
              <w:t>zamówień, trwałości, promocji, kontroli, archiwizacji oraz potrafi przekładać wytyczne na proste procedury dla NGO. Pracuje w formule 1:1 (mentoring/</w:t>
            </w:r>
            <w:r w:rsidR="00621A98">
              <w:rPr>
                <w:rFonts w:ascii="Arial" w:eastAsia="Arial" w:hAnsi="Arial" w:cs="Arial"/>
                <w:sz w:val="24"/>
                <w:szCs w:val="24"/>
              </w:rPr>
              <w:t xml:space="preserve"> </w:t>
            </w:r>
            <w:r>
              <w:rPr>
                <w:rFonts w:ascii="Arial" w:eastAsia="Arial" w:hAnsi="Arial" w:cs="Arial"/>
                <w:sz w:val="24"/>
                <w:szCs w:val="24"/>
              </w:rPr>
              <w:t>doradztwo wdrożeniowe), dostarczając konkretne dokumenty i rozwiązania „do użycia” (checklisty, wzory, korekty budżetu, opisy zadań, plan kontroli wewnętrznej).</w:t>
            </w:r>
          </w:p>
          <w:p w14:paraId="0B7E96BB" w14:textId="77777777" w:rsidR="004604C0" w:rsidRDefault="00CE3F76">
            <w:pPr>
              <w:spacing w:after="0" w:line="276" w:lineRule="auto"/>
              <w:rPr>
                <w:rFonts w:ascii="Arial" w:eastAsia="Arial" w:hAnsi="Arial" w:cs="Arial"/>
                <w:sz w:val="24"/>
                <w:szCs w:val="24"/>
              </w:rPr>
            </w:pPr>
            <w:r>
              <w:rPr>
                <w:rFonts w:ascii="Arial" w:eastAsia="Arial" w:hAnsi="Arial" w:cs="Arial"/>
                <w:sz w:val="24"/>
                <w:szCs w:val="24"/>
              </w:rPr>
              <w:t xml:space="preserve"> </w:t>
            </w:r>
          </w:p>
          <w:p w14:paraId="12693743" w14:textId="77777777" w:rsidR="004604C0" w:rsidRDefault="00CE3F76">
            <w:pPr>
              <w:spacing w:after="0" w:line="276" w:lineRule="auto"/>
              <w:rPr>
                <w:rFonts w:ascii="Arial" w:eastAsia="Arial" w:hAnsi="Arial" w:cs="Arial"/>
                <w:b/>
                <w:bCs/>
                <w:sz w:val="28"/>
                <w:szCs w:val="28"/>
              </w:rPr>
            </w:pPr>
            <w:r>
              <w:rPr>
                <w:rFonts w:ascii="Arial" w:eastAsia="Arial" w:hAnsi="Arial" w:cs="Arial"/>
                <w:b/>
                <w:bCs/>
                <w:sz w:val="28"/>
                <w:szCs w:val="28"/>
              </w:rPr>
              <w:t>IV.</w:t>
            </w:r>
            <w:r>
              <w:rPr>
                <w:rFonts w:ascii="Times New Roman" w:eastAsia="Times New Roman" w:hAnsi="Times New Roman" w:cs="Times New Roman"/>
                <w:sz w:val="14"/>
                <w:szCs w:val="14"/>
              </w:rPr>
              <w:t xml:space="preserve">             </w:t>
            </w:r>
            <w:r>
              <w:rPr>
                <w:rFonts w:ascii="Arial" w:eastAsia="Arial" w:hAnsi="Arial" w:cs="Arial"/>
                <w:b/>
                <w:bCs/>
                <w:sz w:val="28"/>
                <w:szCs w:val="28"/>
              </w:rPr>
              <w:t>Koszty zarządzania projektem</w:t>
            </w:r>
          </w:p>
          <w:p w14:paraId="6979C913" w14:textId="77777777" w:rsidR="004604C0" w:rsidRDefault="00CE3F76" w:rsidP="00CE3F76">
            <w:pPr>
              <w:spacing w:line="276" w:lineRule="auto"/>
              <w:rPr>
                <w:rFonts w:ascii="Arial" w:eastAsia="Arial" w:hAnsi="Arial" w:cs="Arial"/>
                <w:b/>
                <w:bCs/>
                <w:sz w:val="24"/>
                <w:szCs w:val="24"/>
              </w:rPr>
            </w:pPr>
            <w:r>
              <w:rPr>
                <w:rFonts w:ascii="Arial" w:eastAsia="Arial" w:hAnsi="Arial" w:cs="Arial"/>
                <w:b/>
                <w:bCs/>
                <w:sz w:val="24"/>
                <w:szCs w:val="24"/>
              </w:rPr>
              <w:t>a)</w:t>
            </w:r>
            <w:r>
              <w:rPr>
                <w:rFonts w:ascii="Times New Roman" w:eastAsia="Times New Roman" w:hAnsi="Times New Roman" w:cs="Times New Roman"/>
                <w:sz w:val="14"/>
                <w:szCs w:val="14"/>
              </w:rPr>
              <w:t xml:space="preserve">    </w:t>
            </w:r>
            <w:r>
              <w:rPr>
                <w:rFonts w:ascii="Arial" w:eastAsia="Arial" w:hAnsi="Arial" w:cs="Arial"/>
                <w:b/>
                <w:bCs/>
                <w:sz w:val="24"/>
                <w:szCs w:val="24"/>
              </w:rPr>
              <w:t>Koordynator projektu</w:t>
            </w:r>
          </w:p>
          <w:p w14:paraId="0023BF8A" w14:textId="32E51357" w:rsidR="004604C0" w:rsidRDefault="00CE3F76">
            <w:pPr>
              <w:spacing w:line="276" w:lineRule="auto"/>
              <w:rPr>
                <w:rFonts w:ascii="Arial" w:eastAsia="Arial" w:hAnsi="Arial" w:cs="Arial"/>
                <w:sz w:val="24"/>
                <w:szCs w:val="24"/>
              </w:rPr>
            </w:pPr>
            <w:r>
              <w:rPr>
                <w:rFonts w:ascii="Arial" w:eastAsia="Arial" w:hAnsi="Arial" w:cs="Arial"/>
                <w:sz w:val="24"/>
                <w:szCs w:val="24"/>
              </w:rPr>
              <w:t>Zaangażowanie średnio 1/2 etatu miesięcznie</w:t>
            </w:r>
            <w:r w:rsidR="00581491">
              <w:rPr>
                <w:rFonts w:ascii="Arial" w:eastAsia="Arial" w:hAnsi="Arial" w:cs="Arial"/>
                <w:sz w:val="24"/>
                <w:szCs w:val="24"/>
              </w:rPr>
              <w:t>.</w:t>
            </w:r>
          </w:p>
          <w:p w14:paraId="7677B83E" w14:textId="77777777" w:rsidR="004604C0" w:rsidRDefault="00CE3F76" w:rsidP="00581491">
            <w:pPr>
              <w:spacing w:after="0" w:line="276" w:lineRule="auto"/>
              <w:ind w:left="17"/>
              <w:rPr>
                <w:rFonts w:ascii="Arial" w:eastAsia="Arial" w:hAnsi="Arial" w:cs="Arial"/>
                <w:b/>
                <w:bCs/>
                <w:sz w:val="24"/>
                <w:szCs w:val="24"/>
              </w:rPr>
            </w:pPr>
            <w:r>
              <w:rPr>
                <w:rFonts w:ascii="Arial" w:eastAsia="Arial" w:hAnsi="Arial" w:cs="Arial"/>
                <w:b/>
                <w:bCs/>
                <w:sz w:val="24"/>
                <w:szCs w:val="24"/>
              </w:rPr>
              <w:t>b)</w:t>
            </w:r>
            <w:r>
              <w:rPr>
                <w:rFonts w:ascii="Times New Roman" w:eastAsia="Times New Roman" w:hAnsi="Times New Roman" w:cs="Times New Roman"/>
                <w:sz w:val="14"/>
                <w:szCs w:val="14"/>
              </w:rPr>
              <w:t xml:space="preserve">   </w:t>
            </w:r>
            <w:r>
              <w:rPr>
                <w:rFonts w:ascii="Arial" w:eastAsia="Arial" w:hAnsi="Arial" w:cs="Arial"/>
                <w:b/>
                <w:bCs/>
                <w:sz w:val="24"/>
                <w:szCs w:val="24"/>
              </w:rPr>
              <w:t>Koszty takie jak np. wynajem biura, księgowość, materiały biurowe</w:t>
            </w:r>
          </w:p>
          <w:p w14:paraId="69E41BAF" w14:textId="77777777" w:rsidR="004604C0" w:rsidRDefault="00CE3F76" w:rsidP="00581491">
            <w:pPr>
              <w:spacing w:line="276" w:lineRule="auto"/>
              <w:ind w:left="17"/>
              <w:rPr>
                <w:rFonts w:ascii="Arial" w:eastAsia="Arial" w:hAnsi="Arial" w:cs="Arial"/>
                <w:b/>
                <w:bCs/>
                <w:sz w:val="24"/>
                <w:szCs w:val="24"/>
              </w:rPr>
            </w:pPr>
            <w:r>
              <w:rPr>
                <w:rFonts w:ascii="Arial" w:eastAsia="Arial" w:hAnsi="Arial" w:cs="Arial"/>
                <w:b/>
                <w:bCs/>
                <w:sz w:val="24"/>
                <w:szCs w:val="24"/>
              </w:rPr>
              <w:t>c)</w:t>
            </w:r>
            <w:r>
              <w:rPr>
                <w:rFonts w:ascii="Times New Roman" w:eastAsia="Times New Roman" w:hAnsi="Times New Roman" w:cs="Times New Roman"/>
                <w:sz w:val="14"/>
                <w:szCs w:val="14"/>
              </w:rPr>
              <w:t xml:space="preserve">    </w:t>
            </w:r>
            <w:r>
              <w:rPr>
                <w:rFonts w:ascii="Arial" w:eastAsia="Arial" w:hAnsi="Arial" w:cs="Arial"/>
                <w:b/>
                <w:bCs/>
                <w:sz w:val="24"/>
                <w:szCs w:val="24"/>
              </w:rPr>
              <w:t xml:space="preserve">Audyt biegłego rewidenta  </w:t>
            </w:r>
          </w:p>
          <w:p w14:paraId="6F06E5DB" w14:textId="2F8F98C9" w:rsidR="004604C0" w:rsidRDefault="00CE3F76">
            <w:pPr>
              <w:spacing w:line="276" w:lineRule="auto"/>
              <w:rPr>
                <w:rFonts w:ascii="Arial" w:eastAsia="Arial" w:hAnsi="Arial" w:cs="Arial"/>
                <w:sz w:val="24"/>
                <w:szCs w:val="24"/>
              </w:rPr>
            </w:pPr>
            <w:r>
              <w:rPr>
                <w:rFonts w:ascii="Arial" w:eastAsia="Arial" w:hAnsi="Arial" w:cs="Arial"/>
                <w:sz w:val="24"/>
                <w:szCs w:val="24"/>
              </w:rPr>
              <w:t>Biegły rewident jest odpowiedzialny za kontrolę rachunkowo-księgową w księgowości beneficjenta w zakresie 100 % poniesionych wydatków</w:t>
            </w:r>
            <w:r w:rsidR="00581491">
              <w:rPr>
                <w:rFonts w:ascii="Arial" w:eastAsia="Arial" w:hAnsi="Arial" w:cs="Arial"/>
                <w:sz w:val="24"/>
                <w:szCs w:val="24"/>
              </w:rPr>
              <w:t>.</w:t>
            </w:r>
          </w:p>
          <w:p w14:paraId="76AD083A" w14:textId="77777777" w:rsidR="004604C0" w:rsidRDefault="004604C0">
            <w:pPr>
              <w:spacing w:before="120" w:after="120" w:line="276" w:lineRule="auto"/>
              <w:rPr>
                <w:rFonts w:ascii="Arial" w:eastAsia="Arial" w:hAnsi="Arial" w:cs="Arial"/>
                <w:b/>
                <w:bCs/>
                <w:sz w:val="28"/>
                <w:szCs w:val="28"/>
              </w:rPr>
            </w:pPr>
          </w:p>
        </w:tc>
      </w:tr>
      <w:tr w:rsidR="004604C0" w14:paraId="73B3D8B9" w14:textId="77777777">
        <w:trPr>
          <w:trHeight w:val="544"/>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46E113"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lastRenderedPageBreak/>
              <w:t>Przewidywany termin złożenia wniosku o dofinansowanie (kwartał albo miesiąc oraz rok)</w:t>
            </w:r>
          </w:p>
        </w:tc>
        <w:tc>
          <w:tcPr>
            <w:tcW w:w="6234" w:type="dxa"/>
            <w:gridSpan w:val="2"/>
            <w:tcBorders>
              <w:top w:val="single" w:sz="4" w:space="0" w:color="000000"/>
              <w:left w:val="single" w:sz="4" w:space="0" w:color="000000"/>
              <w:bottom w:val="single" w:sz="4" w:space="0" w:color="000000"/>
              <w:right w:val="single" w:sz="4" w:space="0" w:color="000000"/>
            </w:tcBorders>
            <w:vAlign w:val="center"/>
          </w:tcPr>
          <w:p w14:paraId="2D356015"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Maj 2026 r.</w:t>
            </w:r>
          </w:p>
        </w:tc>
      </w:tr>
      <w:tr w:rsidR="004604C0" w14:paraId="465A26B2" w14:textId="77777777">
        <w:trPr>
          <w:trHeight w:val="405"/>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8E1BE7" w14:textId="77777777"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Przewidywany okres realizacji projektu (od - do)</w:t>
            </w:r>
          </w:p>
        </w:tc>
        <w:tc>
          <w:tcPr>
            <w:tcW w:w="6234" w:type="dxa"/>
            <w:gridSpan w:val="2"/>
            <w:tcBorders>
              <w:top w:val="single" w:sz="4" w:space="0" w:color="000000"/>
              <w:left w:val="single" w:sz="4" w:space="0" w:color="000000"/>
              <w:bottom w:val="single" w:sz="4" w:space="0" w:color="000000"/>
              <w:right w:val="single" w:sz="4" w:space="0" w:color="000000"/>
            </w:tcBorders>
            <w:vAlign w:val="center"/>
          </w:tcPr>
          <w:p w14:paraId="47D15FEF" w14:textId="262F8EE3" w:rsidR="004604C0" w:rsidRDefault="00CE3F76">
            <w:pPr>
              <w:spacing w:before="60" w:after="60" w:line="240" w:lineRule="auto"/>
              <w:rPr>
                <w:rFonts w:ascii="Arial" w:eastAsia="Arial" w:hAnsi="Arial" w:cs="Arial"/>
                <w:sz w:val="24"/>
                <w:szCs w:val="24"/>
              </w:rPr>
            </w:pPr>
            <w:r>
              <w:rPr>
                <w:rFonts w:ascii="Arial" w:eastAsia="Arial" w:hAnsi="Arial" w:cs="Arial"/>
                <w:sz w:val="24"/>
                <w:szCs w:val="24"/>
              </w:rPr>
              <w:t xml:space="preserve"> od dnia zawarcia umowy – 24 miesiące</w:t>
            </w:r>
          </w:p>
        </w:tc>
      </w:tr>
      <w:tr w:rsidR="004604C0" w14:paraId="7A9A7184" w14:textId="77777777">
        <w:trPr>
          <w:trHeight w:val="567"/>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0B8B5076" w14:textId="77777777" w:rsidR="004604C0" w:rsidRDefault="00CE3F76">
            <w:pPr>
              <w:spacing w:before="120" w:after="120" w:line="240" w:lineRule="auto"/>
              <w:rPr>
                <w:rFonts w:ascii="Arial" w:eastAsia="Arial" w:hAnsi="Arial" w:cs="Arial"/>
                <w:b/>
                <w:bCs/>
                <w:sz w:val="24"/>
                <w:szCs w:val="24"/>
              </w:rPr>
            </w:pPr>
            <w:r>
              <w:rPr>
                <w:rFonts w:ascii="Arial" w:eastAsia="Arial" w:hAnsi="Arial" w:cs="Arial"/>
                <w:b/>
                <w:bCs/>
                <w:sz w:val="24"/>
                <w:szCs w:val="24"/>
              </w:rPr>
              <w:t>SZACOWANY BUDŻET PROJEKTU</w:t>
            </w:r>
          </w:p>
        </w:tc>
      </w:tr>
      <w:tr w:rsidR="004604C0" w14:paraId="6A24BF3E"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14:paraId="1201CD11"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Szacowana kwota wydatków w projekcie ogółem (PLN)</w:t>
            </w:r>
          </w:p>
        </w:tc>
      </w:tr>
      <w:tr w:rsidR="004604C0" w14:paraId="38CA3960"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EC9A4F6"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rok 2026 - 520 012,50 PLN</w:t>
            </w:r>
          </w:p>
        </w:tc>
      </w:tr>
      <w:tr w:rsidR="004604C0" w14:paraId="66444882"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107E0B5"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rok 2027 - 1 047 800,00 PLN</w:t>
            </w:r>
          </w:p>
        </w:tc>
      </w:tr>
      <w:tr w:rsidR="004604C0" w14:paraId="3155CE26"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49E8B60"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 xml:space="preserve">rok 2028 - 432 187,50  PLN </w:t>
            </w:r>
          </w:p>
        </w:tc>
      </w:tr>
      <w:tr w:rsidR="004604C0" w14:paraId="75EDCBA8" w14:textId="77777777">
        <w:trPr>
          <w:trHeight w:val="60"/>
          <w:jc w:val="center"/>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D24D57"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lastRenderedPageBreak/>
              <w:t>RAZEM: 2 000 000 PLN</w:t>
            </w:r>
          </w:p>
        </w:tc>
      </w:tr>
      <w:tr w:rsidR="004604C0" w14:paraId="1F412C27" w14:textId="77777777">
        <w:trPr>
          <w:trHeight w:val="60"/>
          <w:jc w:val="center"/>
        </w:trPr>
        <w:tc>
          <w:tcPr>
            <w:tcW w:w="547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3EAAF00E"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 xml:space="preserve">Wymagany wkład własny beneficjenta (PLN) </w:t>
            </w:r>
          </w:p>
        </w:tc>
        <w:tc>
          <w:tcPr>
            <w:tcW w:w="5014" w:type="dxa"/>
            <w:tcBorders>
              <w:top w:val="single" w:sz="4" w:space="0" w:color="000000"/>
              <w:left w:val="single" w:sz="4" w:space="0" w:color="000000"/>
              <w:bottom w:val="single" w:sz="4" w:space="0" w:color="000000"/>
              <w:right w:val="single" w:sz="4" w:space="0" w:color="000000"/>
            </w:tcBorders>
            <w:vAlign w:val="center"/>
          </w:tcPr>
          <w:p w14:paraId="3EC82506"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NIE</w:t>
            </w:r>
          </w:p>
        </w:tc>
      </w:tr>
      <w:tr w:rsidR="004604C0" w14:paraId="2D7DBB85" w14:textId="77777777">
        <w:trPr>
          <w:trHeight w:val="806"/>
          <w:jc w:val="center"/>
        </w:trPr>
        <w:tc>
          <w:tcPr>
            <w:tcW w:w="547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24786E6"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Poziom (%) wymaganego wkładu własnego (o ile dotyczy)</w:t>
            </w:r>
          </w:p>
        </w:tc>
        <w:tc>
          <w:tcPr>
            <w:tcW w:w="50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ED7E8" w14:textId="77777777" w:rsidR="004604C0" w:rsidRDefault="00CE3F76">
            <w:pPr>
              <w:spacing w:before="120" w:after="120" w:line="240" w:lineRule="auto"/>
              <w:rPr>
                <w:rFonts w:ascii="Arial" w:eastAsia="Arial" w:hAnsi="Arial" w:cs="Arial"/>
                <w:sz w:val="24"/>
                <w:szCs w:val="24"/>
              </w:rPr>
            </w:pPr>
            <w:r>
              <w:rPr>
                <w:rFonts w:ascii="Arial" w:eastAsia="Arial" w:hAnsi="Arial" w:cs="Arial"/>
                <w:sz w:val="24"/>
                <w:szCs w:val="24"/>
              </w:rPr>
              <w:t>Nie dotyczy</w:t>
            </w:r>
          </w:p>
        </w:tc>
      </w:tr>
    </w:tbl>
    <w:p w14:paraId="4B8FA7CB" w14:textId="77777777" w:rsidR="004604C0" w:rsidRDefault="004604C0">
      <w:pPr>
        <w:pBdr>
          <w:top w:val="nil"/>
          <w:left w:val="nil"/>
          <w:bottom w:val="nil"/>
          <w:right w:val="nil"/>
          <w:between w:val="nil"/>
        </w:pBdr>
        <w:tabs>
          <w:tab w:val="left" w:pos="0"/>
          <w:tab w:val="left" w:pos="284"/>
        </w:tabs>
        <w:spacing w:line="240" w:lineRule="auto"/>
        <w:rPr>
          <w:color w:val="000000"/>
          <w:sz w:val="24"/>
          <w:szCs w:val="24"/>
        </w:rPr>
      </w:pPr>
      <w:bookmarkStart w:id="1" w:name="bookmark=id.3o4bt1upk6il" w:colFirst="0" w:colLast="0"/>
      <w:bookmarkEnd w:id="1"/>
    </w:p>
    <w:sectPr w:rsidR="004604C0">
      <w:headerReference w:type="default" r:id="rId8"/>
      <w:footerReference w:type="default" r:id="rId9"/>
      <w:headerReference w:type="firs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65138" w14:textId="77777777" w:rsidR="007D16FD" w:rsidRDefault="00CE3F76">
      <w:pPr>
        <w:spacing w:after="0" w:line="240" w:lineRule="auto"/>
      </w:pPr>
      <w:r>
        <w:separator/>
      </w:r>
    </w:p>
  </w:endnote>
  <w:endnote w:type="continuationSeparator" w:id="0">
    <w:p w14:paraId="46B21273" w14:textId="77777777" w:rsidR="007D16FD" w:rsidRDefault="00CE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93720F02-A4FF-44E6-8499-1CC91044F9BB}"/>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7A6CCF7B-1433-4FA0-99AB-15C0466EDE29}"/>
    <w:embedBold r:id="rId3" w:fontKey="{449633F2-8420-4B44-8E50-F582F61BC149}"/>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9ADDDE89-95D3-407A-976E-8EA27E2E4D42}"/>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embedRegular r:id="rId5" w:fontKey="{A28B3087-80D5-43F7-B5CD-6928BD70AFE6}"/>
  </w:font>
  <w:font w:name="Cambria">
    <w:panose1 w:val="02040503050406030204"/>
    <w:charset w:val="EE"/>
    <w:family w:val="roman"/>
    <w:pitch w:val="variable"/>
    <w:sig w:usb0="E00006FF" w:usb1="420024FF" w:usb2="02000000" w:usb3="00000000" w:csb0="0000019F" w:csb1="00000000"/>
    <w:embedRegular r:id="rId6" w:fontKey="{69ED70B3-5D00-44CE-B5ED-106990AA53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0C97" w14:textId="77777777" w:rsidR="004604C0" w:rsidRDefault="00CE3F76">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74744">
      <w:rPr>
        <w:noProof/>
        <w:color w:val="000000"/>
      </w:rPr>
      <w:t>1</w:t>
    </w:r>
    <w:r>
      <w:rPr>
        <w:color w:val="000000"/>
      </w:rPr>
      <w:fldChar w:fldCharType="end"/>
    </w:r>
  </w:p>
  <w:p w14:paraId="7E18E0CE" w14:textId="77777777" w:rsidR="004604C0" w:rsidRDefault="004604C0">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05B7" w14:textId="77777777" w:rsidR="007D16FD" w:rsidRDefault="00CE3F76">
      <w:pPr>
        <w:spacing w:after="0" w:line="240" w:lineRule="auto"/>
      </w:pPr>
      <w:r>
        <w:separator/>
      </w:r>
    </w:p>
  </w:footnote>
  <w:footnote w:type="continuationSeparator" w:id="0">
    <w:p w14:paraId="48EED5D0" w14:textId="77777777" w:rsidR="007D16FD" w:rsidRDefault="00CE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C5BF" w14:textId="77777777" w:rsidR="004604C0" w:rsidRDefault="00CE3F76">
    <w:pPr>
      <w:jc w:val="center"/>
    </w:pPr>
    <w:r>
      <w:rPr>
        <w:noProof/>
      </w:rPr>
      <w:drawing>
        <wp:inline distT="0" distB="0" distL="0" distR="0" wp14:anchorId="283B085E" wp14:editId="7BBCCBD9">
          <wp:extent cx="5367998" cy="72780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367998" cy="727804"/>
                  </a:xfrm>
                  <a:prstGeom prst="rect">
                    <a:avLst/>
                  </a:prstGeom>
                  <a:ln/>
                </pic:spPr>
              </pic:pic>
            </a:graphicData>
          </a:graphic>
        </wp:inline>
      </w:drawing>
    </w:r>
  </w:p>
  <w:tbl>
    <w:tblPr>
      <w:tblStyle w:val="a0"/>
      <w:tblW w:w="9060" w:type="dxa"/>
      <w:tblInd w:w="0" w:type="dxa"/>
      <w:tblLayout w:type="fixed"/>
      <w:tblLook w:val="0600" w:firstRow="0" w:lastRow="0" w:firstColumn="0" w:lastColumn="0" w:noHBand="1" w:noVBand="1"/>
    </w:tblPr>
    <w:tblGrid>
      <w:gridCol w:w="3020"/>
      <w:gridCol w:w="3020"/>
      <w:gridCol w:w="3020"/>
    </w:tblGrid>
    <w:tr w:rsidR="004604C0" w14:paraId="3EF8FECA" w14:textId="77777777">
      <w:tc>
        <w:tcPr>
          <w:tcW w:w="3020" w:type="dxa"/>
        </w:tcPr>
        <w:p w14:paraId="39121BFC" w14:textId="77777777" w:rsidR="004604C0" w:rsidRDefault="004604C0">
          <w:pPr>
            <w:pBdr>
              <w:top w:val="nil"/>
              <w:left w:val="nil"/>
              <w:bottom w:val="nil"/>
              <w:right w:val="nil"/>
              <w:between w:val="nil"/>
            </w:pBdr>
            <w:tabs>
              <w:tab w:val="center" w:pos="4536"/>
              <w:tab w:val="right" w:pos="9072"/>
            </w:tabs>
            <w:spacing w:after="0" w:line="240" w:lineRule="auto"/>
            <w:ind w:left="-115"/>
            <w:rPr>
              <w:color w:val="000000"/>
            </w:rPr>
          </w:pPr>
        </w:p>
      </w:tc>
      <w:tc>
        <w:tcPr>
          <w:tcW w:w="3020" w:type="dxa"/>
        </w:tcPr>
        <w:p w14:paraId="06C86619" w14:textId="77777777" w:rsidR="004604C0" w:rsidRDefault="004604C0">
          <w:pPr>
            <w:pBdr>
              <w:top w:val="nil"/>
              <w:left w:val="nil"/>
              <w:bottom w:val="nil"/>
              <w:right w:val="nil"/>
              <w:between w:val="nil"/>
            </w:pBdr>
            <w:tabs>
              <w:tab w:val="center" w:pos="4536"/>
              <w:tab w:val="right" w:pos="9072"/>
            </w:tabs>
            <w:spacing w:after="0" w:line="240" w:lineRule="auto"/>
            <w:jc w:val="center"/>
            <w:rPr>
              <w:color w:val="000000"/>
            </w:rPr>
          </w:pPr>
        </w:p>
      </w:tc>
      <w:tc>
        <w:tcPr>
          <w:tcW w:w="3020" w:type="dxa"/>
        </w:tcPr>
        <w:p w14:paraId="51016E80" w14:textId="77777777" w:rsidR="004604C0" w:rsidRDefault="004604C0">
          <w:pPr>
            <w:pBdr>
              <w:top w:val="nil"/>
              <w:left w:val="nil"/>
              <w:bottom w:val="nil"/>
              <w:right w:val="nil"/>
              <w:between w:val="nil"/>
            </w:pBdr>
            <w:tabs>
              <w:tab w:val="center" w:pos="4536"/>
              <w:tab w:val="right" w:pos="9072"/>
            </w:tabs>
            <w:spacing w:after="0" w:line="240" w:lineRule="auto"/>
            <w:ind w:right="-115"/>
            <w:jc w:val="right"/>
            <w:rPr>
              <w:color w:val="000000"/>
            </w:rPr>
          </w:pPr>
        </w:p>
      </w:tc>
    </w:tr>
  </w:tbl>
  <w:p w14:paraId="71536080" w14:textId="77777777" w:rsidR="004604C0" w:rsidRDefault="004604C0">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5FF1" w14:textId="77777777" w:rsidR="004604C0" w:rsidRDefault="00CE3F76">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14E52B89" wp14:editId="36C3E93B">
          <wp:extent cx="5760720" cy="4368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4368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50C9F"/>
    <w:multiLevelType w:val="multilevel"/>
    <w:tmpl w:val="B35A16AE"/>
    <w:lvl w:ilvl="0">
      <w:start w:val="5"/>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3229A0"/>
    <w:multiLevelType w:val="multilevel"/>
    <w:tmpl w:val="40DEDC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B05AD8"/>
    <w:multiLevelType w:val="multilevel"/>
    <w:tmpl w:val="AD3677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F373387"/>
    <w:multiLevelType w:val="multilevel"/>
    <w:tmpl w:val="ED6A91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C0"/>
    <w:rsid w:val="004604C0"/>
    <w:rsid w:val="00581491"/>
    <w:rsid w:val="00621A98"/>
    <w:rsid w:val="00774744"/>
    <w:rsid w:val="007D16FD"/>
    <w:rsid w:val="00B25A0D"/>
    <w:rsid w:val="00CE3F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2579"/>
  <w15:docId w15:val="{9DB56D5B-1935-4402-8458-692A3DB4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character" w:styleId="Odwoaniedokomentarza">
    <w:name w:val="annotation reference"/>
    <w:basedOn w:val="Domylnaczcionkaakapitu"/>
    <w:uiPriority w:val="99"/>
    <w:semiHidden/>
    <w:unhideWhenUsed/>
    <w:rsid w:val="00774744"/>
    <w:rPr>
      <w:sz w:val="16"/>
      <w:szCs w:val="16"/>
    </w:rPr>
  </w:style>
  <w:style w:type="paragraph" w:styleId="Tekstkomentarza">
    <w:name w:val="annotation text"/>
    <w:basedOn w:val="Normalny"/>
    <w:link w:val="TekstkomentarzaZnak"/>
    <w:uiPriority w:val="99"/>
    <w:semiHidden/>
    <w:unhideWhenUsed/>
    <w:rsid w:val="0077474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4744"/>
    <w:rPr>
      <w:sz w:val="20"/>
      <w:szCs w:val="20"/>
    </w:rPr>
  </w:style>
  <w:style w:type="paragraph" w:styleId="Tematkomentarza">
    <w:name w:val="annotation subject"/>
    <w:basedOn w:val="Tekstkomentarza"/>
    <w:next w:val="Tekstkomentarza"/>
    <w:link w:val="TematkomentarzaZnak"/>
    <w:uiPriority w:val="99"/>
    <w:semiHidden/>
    <w:unhideWhenUsed/>
    <w:rsid w:val="00774744"/>
    <w:rPr>
      <w:b/>
      <w:bCs/>
    </w:rPr>
  </w:style>
  <w:style w:type="character" w:customStyle="1" w:styleId="TematkomentarzaZnak">
    <w:name w:val="Temat komentarza Znak"/>
    <w:basedOn w:val="TekstkomentarzaZnak"/>
    <w:link w:val="Tematkomentarza"/>
    <w:uiPriority w:val="99"/>
    <w:semiHidden/>
    <w:rsid w:val="007747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355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MGkM8oM5cMpq2Nw28gqJszc30g==">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4357</Words>
  <Characters>26144</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Joachimek-Rzepczak Katarzyna</cp:lastModifiedBy>
  <cp:revision>5</cp:revision>
  <dcterms:created xsi:type="dcterms:W3CDTF">2026-05-12T11:15:00Z</dcterms:created>
  <dcterms:modified xsi:type="dcterms:W3CDTF">2026-05-13T12:52:00Z</dcterms:modified>
</cp:coreProperties>
</file>